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108</w:t>
      </w:r>
      <w:r>
        <w:rPr>
          <w:rFonts w:hint="eastAsia" w:ascii="Arial" w:hAnsi="Arial" w:cs="Arial"/>
          <w:b/>
          <w:sz w:val="24"/>
          <w:szCs w:val="24"/>
          <w:lang w:val="en-US" w:eastAsia="zh-CN"/>
        </w:rPr>
        <w:t>bis                                R4-2315708</w:t>
      </w:r>
      <w:bookmarkStart w:id="8" w:name="_GoBack"/>
      <w:bookmarkEnd w:id="8"/>
    </w:p>
    <w:bookmarkEnd w:id="2"/>
    <w:p>
      <w:pPr>
        <w:pStyle w:val="16"/>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Xiamen, China, Oct 9 – Oct 13, 2023</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NR support for dedicated spectrum less than 5MHz for FR1 demodulation performance requirements</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5.14.6.1</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7"/>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7"/>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7"/>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7"/>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7"/>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7"/>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default"/>
          <w:szCs w:val="22"/>
          <w:lang w:val="en-US" w:eastAsia="zh-CN"/>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dedicated spectrum less than 5MHz.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2.1 PBCH requirements</w:t>
      </w:r>
    </w:p>
    <w:p>
      <w:pPr>
        <w:rPr>
          <w:rFonts w:hint="default"/>
          <w:szCs w:val="22"/>
          <w:lang w:val="en-US" w:eastAsia="zh-CN"/>
        </w:rPr>
      </w:pPr>
      <w:r>
        <w:rPr>
          <w:rFonts w:hint="eastAsia"/>
          <w:szCs w:val="22"/>
          <w:lang w:val="en-US" w:eastAsia="zh-CN"/>
        </w:rPr>
        <w:t xml:space="preserve">Based on the WID, only 15kHz SCS is supported for bandwidth less than 5MHz. The available spectrum for those vertical industry cases could be 3MHz, which is less than the bandwidth of existing PBCH with 15kHz SCS. </w:t>
      </w:r>
      <w:r>
        <w:rPr>
          <w:rFonts w:hint="eastAsia"/>
          <w:lang w:val="en-US" w:eastAsia="zh-CN"/>
        </w:rPr>
        <w:t xml:space="preserve">Considering the existing PBCH bandwidth only 20RBs are available by configuration for NR FR1. </w:t>
      </w:r>
      <w:r>
        <w:rPr>
          <w:rFonts w:hint="eastAsia"/>
          <w:szCs w:val="22"/>
          <w:lang w:val="en-US" w:eastAsia="zh-CN"/>
        </w:rPr>
        <w:t>Hence, some RBs could be punctured to ensure bandwidth is 3MHz for less than 5MHz scenario. Based on RAN1</w:t>
      </w:r>
      <w:r>
        <w:rPr>
          <w:rFonts w:hint="default"/>
          <w:szCs w:val="22"/>
          <w:lang w:val="en-US" w:eastAsia="zh-CN"/>
        </w:rPr>
        <w:t>’</w:t>
      </w:r>
      <w:r>
        <w:rPr>
          <w:rFonts w:hint="eastAsia"/>
          <w:szCs w:val="22"/>
          <w:lang w:val="en-US" w:eastAsia="zh-CN"/>
        </w:rPr>
        <w:t>s agreements, PBCH transmission bandwidth is 12PRBs, and the upper 4PRBs and lower 4PRBs of NR 20PRBs PBCH are punctured. The punctured PBCH is shown in Figure 1-1, which the upper 4PRBs and lower 4PRBs are punctured.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8"/>
              </w:numPr>
              <w:overflowPunct w:val="0"/>
              <w:autoSpaceDE w:val="0"/>
              <w:autoSpaceDN w:val="0"/>
              <w:adjustRightInd w:val="0"/>
              <w:spacing w:after="180"/>
              <w:jc w:val="both"/>
              <w:textAlignment w:val="baseline"/>
              <w:rPr>
                <w:rFonts w:eastAsia="Times New Roman"/>
                <w:highlight w:val="green"/>
                <w:lang w:eastAsia="zh-CN"/>
              </w:rPr>
            </w:pPr>
            <w:r>
              <w:rPr>
                <w:rFonts w:hint="eastAsia" w:eastAsia="Times New Roman"/>
                <w:highlight w:val="green"/>
                <w:lang w:eastAsia="zh-CN"/>
              </w:rPr>
              <w:t>For 12PRBs PBCH transmission BW for 3MHz channel BW, the upper 4PRBs and lower 4PRBs of NR 20PRBs PBCH are punctured.</w:t>
            </w:r>
          </w:p>
          <w:p>
            <w:pPr>
              <w:numPr>
                <w:ilvl w:val="0"/>
                <w:numId w:val="8"/>
              </w:numPr>
              <w:overflowPunct w:val="0"/>
              <w:autoSpaceDE w:val="0"/>
              <w:autoSpaceDN w:val="0"/>
              <w:adjustRightInd w:val="0"/>
              <w:spacing w:after="180"/>
              <w:jc w:val="both"/>
              <w:textAlignment w:val="baseline"/>
              <w:rPr>
                <w:rFonts w:eastAsia="Times New Roman"/>
                <w:sz w:val="24"/>
                <w:highlight w:val="green"/>
                <w:lang w:eastAsia="zh-CN"/>
              </w:rPr>
            </w:pPr>
            <w:r>
              <w:rPr>
                <w:rFonts w:eastAsia="Times New Roman"/>
                <w:highlight w:val="green"/>
              </w:rPr>
              <w:t>For 3MHz channel bandwidth in all bands (max channel utilization 15 PRBs as already agreed in RAN1/RAN4):</w:t>
            </w:r>
          </w:p>
          <w:p>
            <w:pPr>
              <w:numPr>
                <w:ilvl w:val="1"/>
                <w:numId w:val="8"/>
              </w:numPr>
              <w:overflowPunct w:val="0"/>
              <w:autoSpaceDE w:val="0"/>
              <w:autoSpaceDN w:val="0"/>
              <w:adjustRightInd w:val="0"/>
              <w:spacing w:after="180"/>
              <w:jc w:val="both"/>
              <w:textAlignment w:val="baseline"/>
              <w:rPr>
                <w:rFonts w:hint="eastAsia"/>
                <w:b/>
                <w:bCs/>
                <w:sz w:val="24"/>
                <w:szCs w:val="24"/>
                <w:vertAlign w:val="baseline"/>
                <w:lang w:val="en-US" w:eastAsia="zh-CN"/>
              </w:rPr>
            </w:pPr>
            <w:r>
              <w:rPr>
                <w:rFonts w:eastAsia="Times New Roman"/>
                <w:highlight w:val="green"/>
              </w:rPr>
              <w:t>PBCH transmission bandwidth is 12 PRBs</w:t>
            </w:r>
          </w:p>
        </w:tc>
      </w:tr>
    </w:tbl>
    <w:p>
      <w:pPr>
        <w:rPr>
          <w:rFonts w:hint="eastAsia"/>
          <w:lang w:val="en-US" w:eastAsia="zh-CN"/>
        </w:rPr>
      </w:pPr>
    </w:p>
    <w:p>
      <w:pPr>
        <w:jc w:val="center"/>
        <w:rPr>
          <w:rFonts w:hint="eastAsia"/>
          <w:lang w:val="en-US" w:eastAsia="zh-CN"/>
        </w:rPr>
      </w:pPr>
      <w:r>
        <w:drawing>
          <wp:inline distT="0" distB="0" distL="114300" distR="114300">
            <wp:extent cx="5723255" cy="3137535"/>
            <wp:effectExtent l="0" t="0" r="698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723255" cy="3137535"/>
                    </a:xfrm>
                    <a:prstGeom prst="rect">
                      <a:avLst/>
                    </a:prstGeom>
                    <a:noFill/>
                    <a:ln>
                      <a:noFill/>
                    </a:ln>
                  </pic:spPr>
                </pic:pic>
              </a:graphicData>
            </a:graphic>
          </wp:inline>
        </w:drawing>
      </w:r>
    </w:p>
    <w:p>
      <w:pPr>
        <w:pStyle w:val="77"/>
        <w:rPr>
          <w:rFonts w:hint="default"/>
          <w:lang w:val="en-US" w:eastAsia="zh-CN"/>
        </w:rPr>
      </w:pPr>
      <w:r>
        <w:rPr>
          <w:color w:val="000000"/>
          <w:sz w:val="21"/>
          <w:szCs w:val="21"/>
        </w:rPr>
        <w:t xml:space="preserve">Figure </w:t>
      </w:r>
      <w:r>
        <w:rPr>
          <w:rFonts w:hint="eastAsia"/>
          <w:color w:val="000000"/>
          <w:sz w:val="21"/>
          <w:szCs w:val="21"/>
          <w:lang w:val="en-US" w:eastAsia="zh-CN"/>
        </w:rPr>
        <w:t>1</w:t>
      </w:r>
      <w:r>
        <w:rPr>
          <w:color w:val="000000"/>
          <w:sz w:val="21"/>
          <w:szCs w:val="21"/>
        </w:rPr>
        <w:t xml:space="preserve">-1: </w:t>
      </w:r>
      <w:r>
        <w:rPr>
          <w:rFonts w:hint="eastAsia"/>
          <w:color w:val="000000"/>
          <w:sz w:val="21"/>
          <w:szCs w:val="21"/>
        </w:rPr>
        <w:t>bandwidth configuration for dedicated spectrum less than 5MHz</w:t>
      </w:r>
    </w:p>
    <w:p>
      <w:pPr>
        <w:rPr>
          <w:rFonts w:hint="eastAsia"/>
          <w:lang w:val="en-US" w:eastAsia="zh-CN"/>
        </w:rPr>
      </w:pPr>
      <w:r>
        <w:rPr>
          <w:rFonts w:hint="eastAsia"/>
          <w:lang w:val="en-US" w:eastAsia="zh-CN"/>
        </w:rPr>
        <w:t>Considering PBCH has a new structure for less than 5MHz, from RAN4 perspective, the performance of punctured PBCH needs to be re-evaluated.</w:t>
      </w:r>
    </w:p>
    <w:p>
      <w:pPr>
        <w:rPr>
          <w:rFonts w:hint="default"/>
          <w:lang w:val="en-US" w:eastAsia="zh-CN"/>
        </w:rPr>
      </w:pPr>
      <w:r>
        <w:rPr>
          <w:rFonts w:hint="eastAsia"/>
          <w:lang w:val="en-US" w:eastAsia="zh-CN"/>
        </w:rPr>
        <w:t>Regarding other parameter, the antenna configuration can be same as existing requirement which needs to include 2Rx.</w:t>
      </w:r>
    </w:p>
    <w:p>
      <w:pPr>
        <w:bidi w:val="0"/>
        <w:outlineLvl w:val="9"/>
        <w:rPr>
          <w:rFonts w:hint="eastAsia"/>
          <w:b/>
          <w:bCs/>
          <w:i/>
          <w:iCs/>
          <w:szCs w:val="21"/>
          <w:lang w:val="en-US" w:eastAsia="zh-CN"/>
        </w:rPr>
      </w:pPr>
      <w:r>
        <w:rPr>
          <w:rFonts w:hint="eastAsia"/>
          <w:b/>
          <w:bCs/>
          <w:i/>
          <w:iCs/>
          <w:szCs w:val="21"/>
        </w:rPr>
        <w:t xml:space="preserve">Proposal </w:t>
      </w:r>
      <w:r>
        <w:rPr>
          <w:rFonts w:hint="eastAsia"/>
          <w:b/>
          <w:bCs/>
          <w:i/>
          <w:iCs/>
          <w:szCs w:val="21"/>
          <w:lang w:val="en-US" w:eastAsia="zh-CN"/>
        </w:rPr>
        <w:t>1. Define PBCH demodulation requirements for less than 5MHz.</w:t>
      </w:r>
    </w:p>
    <w:p>
      <w:pPr>
        <w:bidi w:val="0"/>
        <w:outlineLvl w:val="9"/>
        <w:rPr>
          <w:rFonts w:hint="default"/>
          <w:b/>
          <w:bCs/>
          <w:i/>
          <w:iCs/>
          <w:szCs w:val="21"/>
          <w:lang w:val="en-US" w:eastAsia="zh-CN"/>
        </w:rPr>
      </w:pPr>
      <w:r>
        <w:rPr>
          <w:rFonts w:hint="eastAsia"/>
          <w:b/>
          <w:bCs/>
          <w:i/>
          <w:iCs/>
          <w:szCs w:val="21"/>
          <w:lang w:val="en-US" w:eastAsia="zh-CN"/>
        </w:rPr>
        <w:t>Proposal 2. Considering 2Rx for PBCH demodulation requirements.</w:t>
      </w:r>
    </w:p>
    <w:p>
      <w:pPr>
        <w:bidi w:val="0"/>
        <w:outlineLvl w:val="1"/>
        <w:rPr>
          <w:rFonts w:hint="eastAsia"/>
          <w:b/>
          <w:bCs/>
          <w:sz w:val="24"/>
          <w:szCs w:val="24"/>
          <w:lang w:val="en-US" w:eastAsia="zh-CN"/>
        </w:rPr>
      </w:pPr>
      <w:r>
        <w:rPr>
          <w:rFonts w:hint="eastAsia"/>
          <w:b/>
          <w:bCs/>
          <w:sz w:val="24"/>
          <w:szCs w:val="24"/>
          <w:lang w:val="en-US" w:eastAsia="zh-CN"/>
        </w:rPr>
        <w:t xml:space="preserve">2.2 PDSCH requirements </w:t>
      </w:r>
    </w:p>
    <w:p>
      <w:pPr>
        <w:rPr>
          <w:rFonts w:hint="default"/>
          <w:lang w:val="en-US" w:eastAsia="zh-CN"/>
        </w:rPr>
      </w:pPr>
      <w:r>
        <w:rPr>
          <w:rFonts w:hint="eastAsia"/>
          <w:lang w:val="en-US" w:eastAsia="zh-CN"/>
        </w:rPr>
        <w:t>Based on the WID, only 15kHz SCS is supported for bandwidth less than 5MHz. Hence, only FDD requirements could be considered for PDSCH.</w:t>
      </w:r>
    </w:p>
    <w:p>
      <w:pPr>
        <w:rPr>
          <w:rFonts w:hint="eastAsia"/>
          <w:lang w:val="en-US" w:eastAsia="zh-CN"/>
        </w:rPr>
      </w:pPr>
    </w:p>
    <w:p>
      <w:pPr>
        <w:rPr>
          <w:rFonts w:hint="eastAsia"/>
          <w:lang w:val="en-US" w:eastAsia="zh-CN"/>
        </w:rPr>
      </w:pPr>
      <w:r>
        <w:rPr>
          <w:rFonts w:hint="eastAsia"/>
          <w:lang w:val="en-US" w:eastAsia="zh-CN"/>
        </w:rPr>
        <w:t xml:space="preserve"> </w:t>
      </w:r>
    </w:p>
    <w:p>
      <w:pPr>
        <w:rPr>
          <w:rFonts w:eastAsia="游明朝"/>
        </w:rPr>
      </w:pPr>
      <w:r>
        <w:rPr>
          <w:rFonts w:hint="eastAsia" w:eastAsia="游明朝"/>
        </w:rPr>
        <w:t xml:space="preserve">The maximum transmission bandwidth configuration </w:t>
      </w:r>
      <w:r>
        <w:rPr>
          <w:rFonts w:eastAsia="游明朝"/>
        </w:rPr>
        <w:t>N</w:t>
      </w:r>
      <w:r>
        <w:rPr>
          <w:rFonts w:eastAsia="游明朝"/>
          <w:vertAlign w:val="subscript"/>
        </w:rPr>
        <w:t>RB</w:t>
      </w:r>
      <w:r>
        <w:rPr>
          <w:rFonts w:eastAsia="游明朝"/>
        </w:rPr>
        <w:t xml:space="preserve"> for each UE channel bandwidth and subcarrier spacing is specified in </w:t>
      </w:r>
      <w:r>
        <w:rPr>
          <w:rFonts w:hint="eastAsia" w:eastAsia="宋体"/>
          <w:lang w:val="en-US" w:eastAsia="zh-CN"/>
        </w:rPr>
        <w:t>following Table</w:t>
      </w:r>
      <w:r>
        <w:rPr>
          <w:rFonts w:eastAsia="游明朝"/>
        </w:rPr>
        <w:t>.</w:t>
      </w:r>
    </w:p>
    <w:p>
      <w:pPr>
        <w:pStyle w:val="56"/>
        <w:rPr>
          <w:lang w:eastAsia="zh-CN"/>
        </w:rPr>
      </w:pPr>
      <w:bookmarkStart w:id="3" w:name="_Hlk497144372"/>
      <w:bookmarkStart w:id="4" w:name="_Hlk505013260"/>
      <w:r>
        <w:t xml:space="preserve">Table 5.3.2-1: </w:t>
      </w:r>
      <w:bookmarkEnd w:id="3"/>
      <w:r>
        <w:t>Maximum transmission bandwidth configuration N</w:t>
      </w:r>
      <w:r>
        <w:rPr>
          <w:vertAlign w:val="subscript"/>
        </w:rPr>
        <w:t>RB</w:t>
      </w:r>
    </w:p>
    <w:bookmarkEnd w:id="4"/>
    <w:tbl>
      <w:tblPr>
        <w:tblStyle w:val="23"/>
        <w:tblpPr w:leftFromText="142" w:rightFromText="142" w:vertAnchor="text" w:tblpXSpec="center" w:tblpY="1"/>
        <w:tblOverlap w:val="never"/>
        <w:tblW w:w="57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5"/>
        <w:gridCol w:w="704"/>
        <w:gridCol w:w="704"/>
        <w:gridCol w:w="776"/>
        <w:gridCol w:w="776"/>
        <w:gridCol w:w="677"/>
        <w:gridCol w:w="677"/>
        <w:gridCol w:w="679"/>
        <w:gridCol w:w="677"/>
        <w:gridCol w:w="677"/>
        <w:gridCol w:w="679"/>
        <w:gridCol w:w="580"/>
        <w:gridCol w:w="583"/>
        <w:gridCol w:w="583"/>
        <w:gridCol w:w="580"/>
        <w:gridCol w:w="679"/>
        <w:gridCol w:w="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bottom w:val="nil"/>
            </w:tcBorders>
            <w:shd w:val="clear" w:color="auto" w:fill="auto"/>
            <w:tcMar>
              <w:top w:w="15" w:type="dxa"/>
              <w:left w:w="81" w:type="dxa"/>
              <w:bottom w:w="0" w:type="dxa"/>
              <w:right w:w="81" w:type="dxa"/>
            </w:tcMar>
          </w:tcPr>
          <w:p>
            <w:pPr>
              <w:pStyle w:val="65"/>
            </w:pPr>
            <w:r>
              <w:t>SCS (kHz)</w:t>
            </w:r>
          </w:p>
        </w:tc>
        <w:tc>
          <w:tcPr>
            <w:tcW w:w="313" w:type="pct"/>
          </w:tcPr>
          <w:p>
            <w:pPr>
              <w:pStyle w:val="65"/>
              <w:rPr>
                <w:rFonts w:cs="Arial"/>
                <w:szCs w:val="18"/>
              </w:rPr>
            </w:pPr>
            <w:r>
              <w:rPr>
                <w:rFonts w:cs="Arial"/>
                <w:szCs w:val="18"/>
              </w:rPr>
              <w:t>3</w:t>
            </w:r>
          </w:p>
          <w:p>
            <w:pPr>
              <w:pStyle w:val="65"/>
              <w:rPr>
                <w:rFonts w:cs="Arial"/>
                <w:szCs w:val="18"/>
              </w:rPr>
            </w:pPr>
            <w:r>
              <w:rPr>
                <w:rFonts w:cs="Arial"/>
                <w:szCs w:val="18"/>
              </w:rPr>
              <w:t>MHz</w:t>
            </w:r>
          </w:p>
        </w:tc>
        <w:tc>
          <w:tcPr>
            <w:tcW w:w="313" w:type="pct"/>
            <w:shd w:val="clear" w:color="auto" w:fill="auto"/>
            <w:tcMar>
              <w:top w:w="15" w:type="dxa"/>
              <w:left w:w="81" w:type="dxa"/>
              <w:bottom w:w="0" w:type="dxa"/>
              <w:right w:w="81" w:type="dxa"/>
            </w:tcMar>
          </w:tcPr>
          <w:p>
            <w:pPr>
              <w:pStyle w:val="65"/>
              <w:rPr>
                <w:rFonts w:cs="Arial"/>
                <w:szCs w:val="18"/>
              </w:rPr>
            </w:pPr>
            <w:r>
              <w:rPr>
                <w:rFonts w:cs="Arial"/>
                <w:szCs w:val="18"/>
              </w:rPr>
              <w:t>5</w:t>
            </w:r>
          </w:p>
          <w:p>
            <w:pPr>
              <w:pStyle w:val="65"/>
            </w:pPr>
            <w:r>
              <w:rPr>
                <w:rFonts w:cs="Arial"/>
                <w:szCs w:val="18"/>
              </w:rPr>
              <w:t>MHz</w:t>
            </w:r>
          </w:p>
        </w:tc>
        <w:tc>
          <w:tcPr>
            <w:tcW w:w="345" w:type="pct"/>
            <w:shd w:val="clear" w:color="auto" w:fill="auto"/>
            <w:tcMar>
              <w:top w:w="15" w:type="dxa"/>
              <w:left w:w="81" w:type="dxa"/>
              <w:bottom w:w="0" w:type="dxa"/>
              <w:right w:w="81" w:type="dxa"/>
            </w:tcMar>
          </w:tcPr>
          <w:p>
            <w:pPr>
              <w:pStyle w:val="65"/>
              <w:rPr>
                <w:rFonts w:cs="Arial"/>
                <w:szCs w:val="18"/>
              </w:rPr>
            </w:pPr>
            <w:r>
              <w:rPr>
                <w:rFonts w:cs="Arial"/>
                <w:szCs w:val="18"/>
              </w:rPr>
              <w:t>10</w:t>
            </w:r>
          </w:p>
          <w:p>
            <w:pPr>
              <w:pStyle w:val="65"/>
            </w:pPr>
            <w:r>
              <w:rPr>
                <w:rFonts w:cs="Arial"/>
                <w:szCs w:val="18"/>
              </w:rPr>
              <w:t>MHz</w:t>
            </w:r>
          </w:p>
        </w:tc>
        <w:tc>
          <w:tcPr>
            <w:tcW w:w="345" w:type="pct"/>
            <w:shd w:val="clear" w:color="auto" w:fill="auto"/>
            <w:tcMar>
              <w:top w:w="15" w:type="dxa"/>
              <w:left w:w="81" w:type="dxa"/>
              <w:bottom w:w="0" w:type="dxa"/>
              <w:right w:w="81" w:type="dxa"/>
            </w:tcMar>
          </w:tcPr>
          <w:p>
            <w:pPr>
              <w:pStyle w:val="65"/>
              <w:rPr>
                <w:rFonts w:cs="Arial"/>
                <w:szCs w:val="18"/>
              </w:rPr>
            </w:pPr>
            <w:r>
              <w:rPr>
                <w:rFonts w:cs="Arial"/>
                <w:szCs w:val="18"/>
              </w:rPr>
              <w:t>15</w:t>
            </w:r>
          </w:p>
          <w:p>
            <w:pPr>
              <w:pStyle w:val="65"/>
            </w:pPr>
            <w:r>
              <w:rPr>
                <w:rFonts w:cs="Arial"/>
                <w:szCs w:val="18"/>
              </w:rPr>
              <w:t>MHz</w:t>
            </w:r>
          </w:p>
        </w:tc>
        <w:tc>
          <w:tcPr>
            <w:tcW w:w="301" w:type="pct"/>
            <w:shd w:val="clear" w:color="auto" w:fill="auto"/>
            <w:tcMar>
              <w:top w:w="15" w:type="dxa"/>
              <w:left w:w="81" w:type="dxa"/>
              <w:bottom w:w="0" w:type="dxa"/>
              <w:right w:w="81" w:type="dxa"/>
            </w:tcMar>
          </w:tcPr>
          <w:p>
            <w:pPr>
              <w:pStyle w:val="65"/>
              <w:rPr>
                <w:rFonts w:cs="Arial"/>
                <w:szCs w:val="18"/>
              </w:rPr>
            </w:pPr>
            <w:r>
              <w:rPr>
                <w:rFonts w:cs="Arial"/>
                <w:szCs w:val="18"/>
              </w:rPr>
              <w:t>20</w:t>
            </w:r>
          </w:p>
          <w:p>
            <w:pPr>
              <w:pStyle w:val="65"/>
            </w:pPr>
            <w:r>
              <w:rPr>
                <w:rFonts w:cs="Arial"/>
                <w:szCs w:val="18"/>
              </w:rPr>
              <w:t>MHz</w:t>
            </w:r>
          </w:p>
        </w:tc>
        <w:tc>
          <w:tcPr>
            <w:tcW w:w="301" w:type="pct"/>
            <w:shd w:val="clear" w:color="auto" w:fill="auto"/>
            <w:tcMar>
              <w:top w:w="15" w:type="dxa"/>
              <w:left w:w="81" w:type="dxa"/>
              <w:bottom w:w="0" w:type="dxa"/>
              <w:right w:w="81" w:type="dxa"/>
            </w:tcMar>
          </w:tcPr>
          <w:p>
            <w:pPr>
              <w:pStyle w:val="65"/>
              <w:rPr>
                <w:rFonts w:cs="Arial"/>
                <w:szCs w:val="18"/>
              </w:rPr>
            </w:pPr>
            <w:r>
              <w:rPr>
                <w:rFonts w:cs="Arial"/>
                <w:szCs w:val="18"/>
              </w:rPr>
              <w:t>25</w:t>
            </w:r>
          </w:p>
          <w:p>
            <w:pPr>
              <w:pStyle w:val="65"/>
            </w:pPr>
            <w:r>
              <w:rPr>
                <w:rFonts w:cs="Arial"/>
                <w:szCs w:val="18"/>
              </w:rPr>
              <w:t>MHz</w:t>
            </w:r>
          </w:p>
        </w:tc>
        <w:tc>
          <w:tcPr>
            <w:tcW w:w="302" w:type="pct"/>
          </w:tcPr>
          <w:p>
            <w:pPr>
              <w:pStyle w:val="65"/>
              <w:rPr>
                <w:rFonts w:cs="Arial"/>
                <w:szCs w:val="18"/>
              </w:rPr>
            </w:pPr>
            <w:r>
              <w:rPr>
                <w:rFonts w:cs="Arial"/>
                <w:szCs w:val="18"/>
              </w:rPr>
              <w:t>30</w:t>
            </w:r>
          </w:p>
          <w:p>
            <w:pPr>
              <w:pStyle w:val="65"/>
            </w:pPr>
            <w:r>
              <w:rPr>
                <w:rFonts w:cs="Arial"/>
                <w:szCs w:val="18"/>
              </w:rPr>
              <w:t>MHz</w:t>
            </w:r>
          </w:p>
        </w:tc>
        <w:tc>
          <w:tcPr>
            <w:tcW w:w="301" w:type="pct"/>
            <w:tcMar>
              <w:top w:w="15" w:type="dxa"/>
              <w:left w:w="81" w:type="dxa"/>
              <w:bottom w:w="0" w:type="dxa"/>
              <w:right w:w="81" w:type="dxa"/>
            </w:tcMar>
          </w:tcPr>
          <w:p>
            <w:pPr>
              <w:pStyle w:val="65"/>
              <w:rPr>
                <w:rFonts w:cs="Arial"/>
                <w:szCs w:val="18"/>
                <w:lang w:eastAsia="zh-CN"/>
              </w:rPr>
            </w:pPr>
            <w:r>
              <w:rPr>
                <w:rFonts w:cs="Arial"/>
                <w:szCs w:val="18"/>
                <w:lang w:eastAsia="zh-CN"/>
              </w:rPr>
              <w:t>35</w:t>
            </w:r>
          </w:p>
          <w:p>
            <w:pPr>
              <w:pStyle w:val="65"/>
            </w:pPr>
            <w:r>
              <w:rPr>
                <w:rFonts w:cs="Arial"/>
                <w:szCs w:val="18"/>
                <w:lang w:eastAsia="zh-CN"/>
              </w:rPr>
              <w:t>MHz</w:t>
            </w:r>
          </w:p>
        </w:tc>
        <w:tc>
          <w:tcPr>
            <w:tcW w:w="301" w:type="pct"/>
            <w:shd w:val="clear" w:color="auto" w:fill="auto"/>
          </w:tcPr>
          <w:p>
            <w:pPr>
              <w:pStyle w:val="65"/>
              <w:rPr>
                <w:rFonts w:cs="Arial"/>
                <w:szCs w:val="18"/>
              </w:rPr>
            </w:pPr>
            <w:r>
              <w:rPr>
                <w:rFonts w:cs="Arial"/>
                <w:szCs w:val="18"/>
              </w:rPr>
              <w:t xml:space="preserve">40 </w:t>
            </w:r>
          </w:p>
          <w:p>
            <w:pPr>
              <w:pStyle w:val="65"/>
            </w:pPr>
            <w:r>
              <w:rPr>
                <w:rFonts w:cs="Arial"/>
                <w:szCs w:val="18"/>
              </w:rPr>
              <w:t>MHz</w:t>
            </w:r>
          </w:p>
        </w:tc>
        <w:tc>
          <w:tcPr>
            <w:tcW w:w="302" w:type="pct"/>
            <w:tcMar>
              <w:top w:w="15" w:type="dxa"/>
              <w:left w:w="81" w:type="dxa"/>
              <w:bottom w:w="0" w:type="dxa"/>
              <w:right w:w="81" w:type="dxa"/>
            </w:tcMar>
          </w:tcPr>
          <w:p>
            <w:pPr>
              <w:pStyle w:val="65"/>
              <w:rPr>
                <w:rFonts w:cs="Arial"/>
                <w:szCs w:val="18"/>
                <w:lang w:eastAsia="zh-CN"/>
              </w:rPr>
            </w:pPr>
            <w:r>
              <w:rPr>
                <w:rFonts w:cs="Arial"/>
                <w:szCs w:val="18"/>
                <w:lang w:eastAsia="zh-CN"/>
              </w:rPr>
              <w:t>45</w:t>
            </w:r>
          </w:p>
          <w:p>
            <w:pPr>
              <w:pStyle w:val="65"/>
            </w:pPr>
            <w:r>
              <w:rPr>
                <w:rFonts w:cs="Arial"/>
                <w:szCs w:val="18"/>
                <w:lang w:eastAsia="zh-CN"/>
              </w:rPr>
              <w:t>MHz</w:t>
            </w:r>
          </w:p>
        </w:tc>
        <w:tc>
          <w:tcPr>
            <w:tcW w:w="258" w:type="pct"/>
            <w:shd w:val="clear" w:color="auto" w:fill="auto"/>
            <w:tcMar>
              <w:top w:w="15" w:type="dxa"/>
              <w:left w:w="81" w:type="dxa"/>
              <w:bottom w:w="0" w:type="dxa"/>
              <w:right w:w="81" w:type="dxa"/>
            </w:tcMar>
          </w:tcPr>
          <w:p>
            <w:pPr>
              <w:pStyle w:val="65"/>
              <w:rPr>
                <w:rFonts w:cs="Arial"/>
                <w:szCs w:val="18"/>
              </w:rPr>
            </w:pPr>
            <w:r>
              <w:rPr>
                <w:rFonts w:cs="Arial"/>
                <w:szCs w:val="18"/>
              </w:rPr>
              <w:t>50</w:t>
            </w:r>
          </w:p>
          <w:p>
            <w:pPr>
              <w:pStyle w:val="65"/>
            </w:pPr>
            <w:r>
              <w:rPr>
                <w:rFonts w:cs="Arial"/>
                <w:szCs w:val="18"/>
              </w:rPr>
              <w:t>MHz</w:t>
            </w:r>
          </w:p>
        </w:tc>
        <w:tc>
          <w:tcPr>
            <w:tcW w:w="259" w:type="pct"/>
            <w:shd w:val="clear" w:color="auto" w:fill="auto"/>
          </w:tcPr>
          <w:p>
            <w:pPr>
              <w:pStyle w:val="65"/>
              <w:rPr>
                <w:rFonts w:cs="Arial"/>
                <w:szCs w:val="18"/>
              </w:rPr>
            </w:pPr>
            <w:r>
              <w:rPr>
                <w:rFonts w:cs="Arial"/>
                <w:szCs w:val="18"/>
              </w:rPr>
              <w:t>60</w:t>
            </w:r>
          </w:p>
          <w:p>
            <w:pPr>
              <w:pStyle w:val="65"/>
            </w:pPr>
            <w:r>
              <w:rPr>
                <w:rFonts w:cs="Arial"/>
                <w:szCs w:val="18"/>
              </w:rPr>
              <w:t>MHz</w:t>
            </w:r>
          </w:p>
        </w:tc>
        <w:tc>
          <w:tcPr>
            <w:tcW w:w="259" w:type="pct"/>
            <w:tcMar>
              <w:top w:w="15" w:type="dxa"/>
              <w:left w:w="81" w:type="dxa"/>
              <w:bottom w:w="0" w:type="dxa"/>
              <w:right w:w="81" w:type="dxa"/>
            </w:tcMar>
          </w:tcPr>
          <w:p>
            <w:pPr>
              <w:pStyle w:val="65"/>
              <w:rPr>
                <w:rFonts w:cs="Arial"/>
                <w:szCs w:val="18"/>
              </w:rPr>
            </w:pPr>
            <w:r>
              <w:rPr>
                <w:rFonts w:cs="Arial"/>
                <w:szCs w:val="18"/>
              </w:rPr>
              <w:t>70</w:t>
            </w:r>
          </w:p>
          <w:p>
            <w:pPr>
              <w:pStyle w:val="65"/>
            </w:pPr>
            <w:r>
              <w:rPr>
                <w:rFonts w:cs="Arial"/>
                <w:szCs w:val="18"/>
              </w:rPr>
              <w:t>MHz</w:t>
            </w:r>
          </w:p>
        </w:tc>
        <w:tc>
          <w:tcPr>
            <w:tcW w:w="258" w:type="pct"/>
            <w:shd w:val="clear" w:color="auto" w:fill="auto"/>
          </w:tcPr>
          <w:p>
            <w:pPr>
              <w:pStyle w:val="65"/>
              <w:rPr>
                <w:rFonts w:cs="Arial"/>
                <w:szCs w:val="18"/>
              </w:rPr>
            </w:pPr>
            <w:r>
              <w:rPr>
                <w:rFonts w:cs="Arial"/>
                <w:szCs w:val="18"/>
              </w:rPr>
              <w:t>80</w:t>
            </w:r>
          </w:p>
          <w:p>
            <w:pPr>
              <w:pStyle w:val="65"/>
            </w:pPr>
            <w:r>
              <w:rPr>
                <w:rFonts w:cs="Arial"/>
                <w:szCs w:val="18"/>
              </w:rPr>
              <w:t>MHz</w:t>
            </w:r>
          </w:p>
        </w:tc>
        <w:tc>
          <w:tcPr>
            <w:tcW w:w="302" w:type="pct"/>
            <w:tcMar>
              <w:top w:w="15" w:type="dxa"/>
              <w:left w:w="81" w:type="dxa"/>
              <w:bottom w:w="0" w:type="dxa"/>
              <w:right w:w="81" w:type="dxa"/>
            </w:tcMar>
          </w:tcPr>
          <w:p>
            <w:pPr>
              <w:pStyle w:val="65"/>
              <w:rPr>
                <w:rFonts w:cs="Arial"/>
                <w:szCs w:val="18"/>
              </w:rPr>
            </w:pPr>
            <w:r>
              <w:rPr>
                <w:rFonts w:cs="Arial"/>
                <w:szCs w:val="18"/>
              </w:rPr>
              <w:t>90</w:t>
            </w:r>
          </w:p>
          <w:p>
            <w:pPr>
              <w:pStyle w:val="65"/>
            </w:pPr>
            <w:r>
              <w:rPr>
                <w:rFonts w:cs="Arial"/>
                <w:szCs w:val="18"/>
              </w:rPr>
              <w:t>MHz</w:t>
            </w:r>
          </w:p>
        </w:tc>
        <w:tc>
          <w:tcPr>
            <w:tcW w:w="255" w:type="pct"/>
          </w:tcPr>
          <w:p>
            <w:pPr>
              <w:pStyle w:val="65"/>
              <w:rPr>
                <w:rFonts w:cs="Arial"/>
                <w:szCs w:val="18"/>
              </w:rPr>
            </w:pPr>
            <w:r>
              <w:rPr>
                <w:rFonts w:cs="Arial"/>
                <w:szCs w:val="18"/>
              </w:rPr>
              <w:t>100</w:t>
            </w:r>
          </w:p>
          <w:p>
            <w:pPr>
              <w:pStyle w:val="65"/>
              <w:rPr>
                <w:rFonts w:cs="Arial"/>
                <w:szCs w:val="18"/>
              </w:rPr>
            </w:pPr>
            <w:r>
              <w:rPr>
                <w:rFonts w:cs="Arial"/>
                <w:szCs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tcBorders>
              <w:top w:val="nil"/>
            </w:tcBorders>
            <w:shd w:val="clear" w:color="auto" w:fill="auto"/>
          </w:tcPr>
          <w:p>
            <w:pPr>
              <w:pStyle w:val="65"/>
            </w:pPr>
          </w:p>
        </w:tc>
        <w:tc>
          <w:tcPr>
            <w:tcW w:w="313" w:type="pct"/>
          </w:tcPr>
          <w:p>
            <w:pPr>
              <w:pStyle w:val="65"/>
              <w:rPr>
                <w:rFonts w:cs="Arial"/>
                <w:szCs w:val="18"/>
              </w:rPr>
            </w:pPr>
            <w:r>
              <w:rPr>
                <w:rFonts w:cs="Arial"/>
                <w:szCs w:val="18"/>
              </w:rPr>
              <w:t>N</w:t>
            </w:r>
            <w:r>
              <w:rPr>
                <w:rFonts w:cs="Arial"/>
                <w:szCs w:val="18"/>
                <w:vertAlign w:val="subscript"/>
              </w:rPr>
              <w:t>RB</w:t>
            </w:r>
          </w:p>
        </w:tc>
        <w:tc>
          <w:tcPr>
            <w:tcW w:w="313"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45"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45"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1"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302" w:type="pct"/>
          </w:tcPr>
          <w:p>
            <w:pPr>
              <w:pStyle w:val="65"/>
            </w:pPr>
            <w:r>
              <w:rPr>
                <w:rFonts w:cs="Arial"/>
                <w:szCs w:val="18"/>
              </w:rPr>
              <w:t>N</w:t>
            </w:r>
            <w:r>
              <w:rPr>
                <w:rFonts w:cs="Arial"/>
                <w:szCs w:val="18"/>
                <w:vertAlign w:val="subscript"/>
              </w:rPr>
              <w:t>RB</w:t>
            </w:r>
          </w:p>
        </w:tc>
        <w:tc>
          <w:tcPr>
            <w:tcW w:w="301" w:type="pct"/>
            <w:tcMar>
              <w:top w:w="15" w:type="dxa"/>
              <w:left w:w="81" w:type="dxa"/>
              <w:bottom w:w="0" w:type="dxa"/>
              <w:right w:w="81" w:type="dxa"/>
            </w:tcMar>
          </w:tcPr>
          <w:p>
            <w:pPr>
              <w:pStyle w:val="65"/>
            </w:pPr>
            <w:r>
              <w:rPr>
                <w:rFonts w:eastAsia="游明朝" w:cs="Arial"/>
                <w:szCs w:val="18"/>
              </w:rPr>
              <w:t>N</w:t>
            </w:r>
            <w:r>
              <w:rPr>
                <w:rFonts w:eastAsia="游明朝" w:cs="Arial"/>
                <w:szCs w:val="18"/>
                <w:vertAlign w:val="subscript"/>
              </w:rPr>
              <w:t>RB</w:t>
            </w:r>
          </w:p>
        </w:tc>
        <w:tc>
          <w:tcPr>
            <w:tcW w:w="301" w:type="pct"/>
            <w:shd w:val="clear" w:color="auto" w:fill="auto"/>
          </w:tcPr>
          <w:p>
            <w:pPr>
              <w:pStyle w:val="65"/>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65"/>
            </w:pPr>
            <w:r>
              <w:rPr>
                <w:rFonts w:eastAsia="游明朝" w:cs="Arial"/>
                <w:szCs w:val="18"/>
              </w:rPr>
              <w:t>N</w:t>
            </w:r>
            <w:r>
              <w:rPr>
                <w:rFonts w:eastAsia="游明朝" w:cs="Arial"/>
                <w:szCs w:val="18"/>
                <w:vertAlign w:val="subscript"/>
              </w:rPr>
              <w:t>RB</w:t>
            </w:r>
          </w:p>
        </w:tc>
        <w:tc>
          <w:tcPr>
            <w:tcW w:w="258" w:type="pct"/>
            <w:shd w:val="clear" w:color="auto" w:fill="auto"/>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9" w:type="pct"/>
            <w:shd w:val="clear" w:color="auto" w:fill="auto"/>
          </w:tcPr>
          <w:p>
            <w:pPr>
              <w:pStyle w:val="65"/>
            </w:pPr>
            <w:r>
              <w:rPr>
                <w:rFonts w:cs="Arial"/>
                <w:szCs w:val="18"/>
              </w:rPr>
              <w:t>N</w:t>
            </w:r>
            <w:r>
              <w:rPr>
                <w:rFonts w:cs="Arial"/>
                <w:szCs w:val="18"/>
                <w:vertAlign w:val="subscript"/>
              </w:rPr>
              <w:t>RB</w:t>
            </w:r>
          </w:p>
        </w:tc>
        <w:tc>
          <w:tcPr>
            <w:tcW w:w="259" w:type="pct"/>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8" w:type="pct"/>
            <w:shd w:val="clear" w:color="auto" w:fill="auto"/>
          </w:tcPr>
          <w:p>
            <w:pPr>
              <w:pStyle w:val="65"/>
            </w:pPr>
            <w:r>
              <w:rPr>
                <w:rFonts w:cs="Arial"/>
                <w:szCs w:val="18"/>
              </w:rPr>
              <w:t>N</w:t>
            </w:r>
            <w:r>
              <w:rPr>
                <w:rFonts w:cs="Arial"/>
                <w:szCs w:val="18"/>
                <w:vertAlign w:val="subscript"/>
              </w:rPr>
              <w:t>RB</w:t>
            </w:r>
          </w:p>
        </w:tc>
        <w:tc>
          <w:tcPr>
            <w:tcW w:w="302" w:type="pct"/>
            <w:tcMar>
              <w:top w:w="15" w:type="dxa"/>
              <w:left w:w="81" w:type="dxa"/>
              <w:bottom w:w="0" w:type="dxa"/>
              <w:right w:w="81" w:type="dxa"/>
            </w:tcMar>
          </w:tcPr>
          <w:p>
            <w:pPr>
              <w:pStyle w:val="65"/>
            </w:pPr>
            <w:r>
              <w:rPr>
                <w:rFonts w:cs="Arial"/>
                <w:szCs w:val="18"/>
              </w:rPr>
              <w:t>N</w:t>
            </w:r>
            <w:r>
              <w:rPr>
                <w:rFonts w:cs="Arial"/>
                <w:szCs w:val="18"/>
                <w:vertAlign w:val="subscript"/>
              </w:rPr>
              <w:t>RB</w:t>
            </w:r>
          </w:p>
        </w:tc>
        <w:tc>
          <w:tcPr>
            <w:tcW w:w="255" w:type="pct"/>
          </w:tcPr>
          <w:p>
            <w:pPr>
              <w:pStyle w:val="65"/>
              <w:rPr>
                <w:rFonts w:cs="Arial"/>
                <w:szCs w:val="18"/>
              </w:rPr>
            </w:pPr>
            <w:r>
              <w:rPr>
                <w:rFonts w:cs="Arial"/>
                <w:szCs w:val="18"/>
              </w:rPr>
              <w:t>N</w:t>
            </w:r>
            <w:r>
              <w:rPr>
                <w:rFonts w:cs="Arial"/>
                <w:szCs w:val="18"/>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15</w:t>
            </w:r>
          </w:p>
        </w:tc>
        <w:tc>
          <w:tcPr>
            <w:tcW w:w="313" w:type="pct"/>
          </w:tcPr>
          <w:p>
            <w:pPr>
              <w:pStyle w:val="57"/>
              <w:rPr>
                <w:rFonts w:cs="Arial"/>
                <w:szCs w:val="18"/>
              </w:rPr>
            </w:pPr>
            <w:r>
              <w:rPr>
                <w:rFonts w:cs="Arial"/>
                <w:szCs w:val="18"/>
              </w:rPr>
              <w:t>15</w:t>
            </w:r>
          </w:p>
        </w:tc>
        <w:tc>
          <w:tcPr>
            <w:tcW w:w="313" w:type="pct"/>
            <w:shd w:val="clear" w:color="auto" w:fill="auto"/>
            <w:tcMar>
              <w:top w:w="15" w:type="dxa"/>
              <w:left w:w="81" w:type="dxa"/>
              <w:bottom w:w="0" w:type="dxa"/>
              <w:right w:w="81" w:type="dxa"/>
            </w:tcMar>
          </w:tcPr>
          <w:p>
            <w:pPr>
              <w:pStyle w:val="57"/>
            </w:pPr>
            <w:r>
              <w:rPr>
                <w:rFonts w:cs="Arial"/>
                <w:szCs w:val="18"/>
              </w:rPr>
              <w:t>25</w:t>
            </w:r>
          </w:p>
        </w:tc>
        <w:tc>
          <w:tcPr>
            <w:tcW w:w="345" w:type="pct"/>
            <w:shd w:val="clear" w:color="auto" w:fill="auto"/>
            <w:tcMar>
              <w:top w:w="15" w:type="dxa"/>
              <w:left w:w="81" w:type="dxa"/>
              <w:bottom w:w="0" w:type="dxa"/>
              <w:right w:w="81" w:type="dxa"/>
            </w:tcMar>
          </w:tcPr>
          <w:p>
            <w:pPr>
              <w:pStyle w:val="57"/>
            </w:pPr>
            <w:r>
              <w:rPr>
                <w:rFonts w:cs="Arial"/>
                <w:szCs w:val="18"/>
              </w:rPr>
              <w:t>52</w:t>
            </w:r>
          </w:p>
        </w:tc>
        <w:tc>
          <w:tcPr>
            <w:tcW w:w="345" w:type="pct"/>
            <w:shd w:val="clear" w:color="auto" w:fill="auto"/>
            <w:tcMar>
              <w:top w:w="15" w:type="dxa"/>
              <w:left w:w="81" w:type="dxa"/>
              <w:bottom w:w="0" w:type="dxa"/>
              <w:right w:w="81" w:type="dxa"/>
            </w:tcMar>
          </w:tcPr>
          <w:p>
            <w:pPr>
              <w:pStyle w:val="57"/>
            </w:pPr>
            <w:r>
              <w:rPr>
                <w:rFonts w:cs="Arial"/>
                <w:szCs w:val="18"/>
              </w:rPr>
              <w:t>79</w:t>
            </w:r>
          </w:p>
        </w:tc>
        <w:tc>
          <w:tcPr>
            <w:tcW w:w="301" w:type="pct"/>
            <w:shd w:val="clear" w:color="auto" w:fill="auto"/>
            <w:tcMar>
              <w:top w:w="15" w:type="dxa"/>
              <w:left w:w="81" w:type="dxa"/>
              <w:bottom w:w="0" w:type="dxa"/>
              <w:right w:w="81" w:type="dxa"/>
            </w:tcMar>
          </w:tcPr>
          <w:p>
            <w:pPr>
              <w:pStyle w:val="57"/>
            </w:pPr>
            <w:r>
              <w:rPr>
                <w:rFonts w:cs="Arial"/>
                <w:szCs w:val="18"/>
              </w:rPr>
              <w:t>106</w:t>
            </w:r>
          </w:p>
        </w:tc>
        <w:tc>
          <w:tcPr>
            <w:tcW w:w="301" w:type="pct"/>
            <w:shd w:val="clear" w:color="auto" w:fill="auto"/>
            <w:tcMar>
              <w:top w:w="15" w:type="dxa"/>
              <w:left w:w="81" w:type="dxa"/>
              <w:bottom w:w="0" w:type="dxa"/>
              <w:right w:w="81" w:type="dxa"/>
            </w:tcMar>
          </w:tcPr>
          <w:p>
            <w:pPr>
              <w:pStyle w:val="57"/>
            </w:pPr>
            <w:r>
              <w:rPr>
                <w:rFonts w:cs="Arial"/>
                <w:szCs w:val="18"/>
              </w:rPr>
              <w:t>133</w:t>
            </w:r>
          </w:p>
        </w:tc>
        <w:tc>
          <w:tcPr>
            <w:tcW w:w="302" w:type="pct"/>
          </w:tcPr>
          <w:p>
            <w:pPr>
              <w:pStyle w:val="57"/>
            </w:pPr>
            <w:r>
              <w:rPr>
                <w:rFonts w:cs="Arial"/>
                <w:szCs w:val="18"/>
              </w:rPr>
              <w:t>160</w:t>
            </w:r>
          </w:p>
        </w:tc>
        <w:tc>
          <w:tcPr>
            <w:tcW w:w="301" w:type="pct"/>
            <w:tcMar>
              <w:top w:w="15" w:type="dxa"/>
              <w:left w:w="81" w:type="dxa"/>
              <w:bottom w:w="0" w:type="dxa"/>
              <w:right w:w="81" w:type="dxa"/>
            </w:tcMar>
          </w:tcPr>
          <w:p>
            <w:pPr>
              <w:pStyle w:val="57"/>
            </w:pPr>
            <w:r>
              <w:rPr>
                <w:rFonts w:cs="Arial"/>
                <w:szCs w:val="18"/>
                <w:lang w:val="en-US"/>
              </w:rPr>
              <w:t>188</w:t>
            </w:r>
          </w:p>
        </w:tc>
        <w:tc>
          <w:tcPr>
            <w:tcW w:w="301" w:type="pct"/>
            <w:shd w:val="clear" w:color="auto" w:fill="auto"/>
          </w:tcPr>
          <w:p>
            <w:pPr>
              <w:pStyle w:val="57"/>
            </w:pPr>
            <w:r>
              <w:rPr>
                <w:rFonts w:cs="Arial"/>
                <w:szCs w:val="18"/>
              </w:rPr>
              <w:t>216</w:t>
            </w:r>
          </w:p>
        </w:tc>
        <w:tc>
          <w:tcPr>
            <w:tcW w:w="302" w:type="pct"/>
            <w:tcMar>
              <w:top w:w="15" w:type="dxa"/>
              <w:left w:w="81" w:type="dxa"/>
              <w:bottom w:w="0" w:type="dxa"/>
              <w:right w:w="81" w:type="dxa"/>
            </w:tcMar>
          </w:tcPr>
          <w:p>
            <w:pPr>
              <w:pStyle w:val="57"/>
            </w:pPr>
            <w:r>
              <w:rPr>
                <w:rFonts w:cs="Arial"/>
                <w:color w:val="000000"/>
                <w:kern w:val="24"/>
                <w:szCs w:val="18"/>
              </w:rPr>
              <w:t>242</w:t>
            </w:r>
          </w:p>
        </w:tc>
        <w:tc>
          <w:tcPr>
            <w:tcW w:w="258" w:type="pct"/>
            <w:shd w:val="clear" w:color="auto" w:fill="auto"/>
            <w:tcMar>
              <w:top w:w="15" w:type="dxa"/>
              <w:left w:w="81" w:type="dxa"/>
              <w:bottom w:w="0" w:type="dxa"/>
              <w:right w:w="81" w:type="dxa"/>
            </w:tcMar>
          </w:tcPr>
          <w:p>
            <w:pPr>
              <w:pStyle w:val="57"/>
            </w:pPr>
            <w:r>
              <w:rPr>
                <w:rFonts w:cs="Arial"/>
                <w:szCs w:val="18"/>
              </w:rPr>
              <w:t>270</w:t>
            </w:r>
          </w:p>
        </w:tc>
        <w:tc>
          <w:tcPr>
            <w:tcW w:w="259" w:type="pct"/>
            <w:shd w:val="clear" w:color="auto" w:fill="auto"/>
          </w:tcPr>
          <w:p>
            <w:pPr>
              <w:pStyle w:val="57"/>
            </w:pPr>
            <w:r>
              <w:rPr>
                <w:rFonts w:cs="Arial"/>
                <w:szCs w:val="18"/>
              </w:rPr>
              <w:t>N/A</w:t>
            </w:r>
          </w:p>
        </w:tc>
        <w:tc>
          <w:tcPr>
            <w:tcW w:w="259" w:type="pct"/>
            <w:tcMar>
              <w:top w:w="15" w:type="dxa"/>
              <w:left w:w="81" w:type="dxa"/>
              <w:bottom w:w="0" w:type="dxa"/>
              <w:right w:w="81" w:type="dxa"/>
            </w:tcMar>
          </w:tcPr>
          <w:p>
            <w:pPr>
              <w:pStyle w:val="57"/>
            </w:pPr>
            <w:r>
              <w:rPr>
                <w:rFonts w:cs="Arial"/>
                <w:szCs w:val="18"/>
              </w:rPr>
              <w:t>N/A</w:t>
            </w:r>
          </w:p>
        </w:tc>
        <w:tc>
          <w:tcPr>
            <w:tcW w:w="258" w:type="pct"/>
            <w:shd w:val="clear" w:color="auto" w:fill="auto"/>
          </w:tcPr>
          <w:p>
            <w:pPr>
              <w:pStyle w:val="57"/>
            </w:pPr>
            <w:r>
              <w:rPr>
                <w:rFonts w:cs="Arial"/>
                <w:szCs w:val="18"/>
              </w:rPr>
              <w:t>N/A</w:t>
            </w:r>
          </w:p>
        </w:tc>
        <w:tc>
          <w:tcPr>
            <w:tcW w:w="302" w:type="pct"/>
            <w:tcMar>
              <w:top w:w="15" w:type="dxa"/>
              <w:left w:w="81" w:type="dxa"/>
              <w:bottom w:w="0" w:type="dxa"/>
              <w:right w:w="81" w:type="dxa"/>
            </w:tcMar>
          </w:tcPr>
          <w:p>
            <w:pPr>
              <w:pStyle w:val="57"/>
            </w:pPr>
            <w:r>
              <w:rPr>
                <w:rFonts w:cs="Arial"/>
                <w:szCs w:val="18"/>
              </w:rPr>
              <w:t>N/A</w:t>
            </w:r>
          </w:p>
        </w:tc>
        <w:tc>
          <w:tcPr>
            <w:tcW w:w="255" w:type="pct"/>
          </w:tcPr>
          <w:p>
            <w:pPr>
              <w:pStyle w:val="57"/>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30</w:t>
            </w:r>
          </w:p>
        </w:tc>
        <w:tc>
          <w:tcPr>
            <w:tcW w:w="313" w:type="pct"/>
          </w:tcPr>
          <w:p>
            <w:pPr>
              <w:pStyle w:val="57"/>
              <w:rPr>
                <w:rFonts w:cs="Arial"/>
                <w:szCs w:val="18"/>
              </w:rPr>
            </w:pPr>
            <w:r>
              <w:rPr>
                <w:rFonts w:cs="Arial"/>
                <w:szCs w:val="18"/>
              </w:rPr>
              <w:t>N/A</w:t>
            </w:r>
          </w:p>
        </w:tc>
        <w:tc>
          <w:tcPr>
            <w:tcW w:w="313" w:type="pct"/>
            <w:shd w:val="clear" w:color="auto" w:fill="auto"/>
            <w:tcMar>
              <w:top w:w="15" w:type="dxa"/>
              <w:left w:w="81" w:type="dxa"/>
              <w:bottom w:w="0" w:type="dxa"/>
              <w:right w:w="81" w:type="dxa"/>
            </w:tcMar>
          </w:tcPr>
          <w:p>
            <w:pPr>
              <w:pStyle w:val="57"/>
            </w:pPr>
            <w:r>
              <w:rPr>
                <w:rFonts w:cs="Arial"/>
                <w:szCs w:val="18"/>
              </w:rPr>
              <w:t>11</w:t>
            </w:r>
          </w:p>
        </w:tc>
        <w:tc>
          <w:tcPr>
            <w:tcW w:w="345" w:type="pct"/>
            <w:shd w:val="clear" w:color="auto" w:fill="auto"/>
            <w:tcMar>
              <w:top w:w="15" w:type="dxa"/>
              <w:left w:w="81" w:type="dxa"/>
              <w:bottom w:w="0" w:type="dxa"/>
              <w:right w:w="81" w:type="dxa"/>
            </w:tcMar>
          </w:tcPr>
          <w:p>
            <w:pPr>
              <w:pStyle w:val="57"/>
            </w:pPr>
            <w:r>
              <w:rPr>
                <w:rFonts w:cs="Arial"/>
                <w:szCs w:val="18"/>
              </w:rPr>
              <w:t>24</w:t>
            </w:r>
          </w:p>
        </w:tc>
        <w:tc>
          <w:tcPr>
            <w:tcW w:w="345" w:type="pct"/>
            <w:shd w:val="clear" w:color="auto" w:fill="auto"/>
            <w:tcMar>
              <w:top w:w="15" w:type="dxa"/>
              <w:left w:w="81" w:type="dxa"/>
              <w:bottom w:w="0" w:type="dxa"/>
              <w:right w:w="81" w:type="dxa"/>
            </w:tcMar>
          </w:tcPr>
          <w:p>
            <w:pPr>
              <w:pStyle w:val="57"/>
            </w:pPr>
            <w:r>
              <w:rPr>
                <w:rFonts w:cs="Arial"/>
                <w:szCs w:val="18"/>
              </w:rPr>
              <w:t>38</w:t>
            </w:r>
          </w:p>
        </w:tc>
        <w:tc>
          <w:tcPr>
            <w:tcW w:w="301" w:type="pct"/>
            <w:shd w:val="clear" w:color="auto" w:fill="auto"/>
            <w:tcMar>
              <w:top w:w="15" w:type="dxa"/>
              <w:left w:w="81" w:type="dxa"/>
              <w:bottom w:w="0" w:type="dxa"/>
              <w:right w:w="81" w:type="dxa"/>
            </w:tcMar>
          </w:tcPr>
          <w:p>
            <w:pPr>
              <w:pStyle w:val="57"/>
            </w:pPr>
            <w:r>
              <w:rPr>
                <w:rFonts w:cs="Arial"/>
                <w:szCs w:val="18"/>
              </w:rPr>
              <w:t>51</w:t>
            </w:r>
          </w:p>
        </w:tc>
        <w:tc>
          <w:tcPr>
            <w:tcW w:w="301" w:type="pct"/>
            <w:shd w:val="clear" w:color="auto" w:fill="auto"/>
            <w:tcMar>
              <w:top w:w="15" w:type="dxa"/>
              <w:left w:w="81" w:type="dxa"/>
              <w:bottom w:w="0" w:type="dxa"/>
              <w:right w:w="81" w:type="dxa"/>
            </w:tcMar>
          </w:tcPr>
          <w:p>
            <w:pPr>
              <w:pStyle w:val="57"/>
            </w:pPr>
            <w:r>
              <w:rPr>
                <w:rFonts w:cs="Arial"/>
                <w:szCs w:val="18"/>
              </w:rPr>
              <w:t>65</w:t>
            </w:r>
          </w:p>
        </w:tc>
        <w:tc>
          <w:tcPr>
            <w:tcW w:w="302" w:type="pct"/>
          </w:tcPr>
          <w:p>
            <w:pPr>
              <w:pStyle w:val="57"/>
            </w:pPr>
            <w:r>
              <w:rPr>
                <w:rFonts w:cs="Arial"/>
                <w:szCs w:val="18"/>
              </w:rPr>
              <w:t>78</w:t>
            </w:r>
          </w:p>
        </w:tc>
        <w:tc>
          <w:tcPr>
            <w:tcW w:w="301" w:type="pct"/>
            <w:tcMar>
              <w:top w:w="15" w:type="dxa"/>
              <w:left w:w="81" w:type="dxa"/>
              <w:bottom w:w="0" w:type="dxa"/>
              <w:right w:w="81" w:type="dxa"/>
            </w:tcMar>
          </w:tcPr>
          <w:p>
            <w:pPr>
              <w:pStyle w:val="57"/>
            </w:pPr>
            <w:r>
              <w:rPr>
                <w:rFonts w:cs="Arial"/>
                <w:szCs w:val="18"/>
                <w:lang w:val="en-US"/>
              </w:rPr>
              <w:t>92</w:t>
            </w:r>
          </w:p>
        </w:tc>
        <w:tc>
          <w:tcPr>
            <w:tcW w:w="301" w:type="pct"/>
            <w:shd w:val="clear" w:color="auto" w:fill="auto"/>
          </w:tcPr>
          <w:p>
            <w:pPr>
              <w:pStyle w:val="57"/>
            </w:pPr>
            <w:r>
              <w:rPr>
                <w:rFonts w:cs="Arial"/>
                <w:szCs w:val="18"/>
              </w:rPr>
              <w:t>106</w:t>
            </w:r>
          </w:p>
        </w:tc>
        <w:tc>
          <w:tcPr>
            <w:tcW w:w="302" w:type="pct"/>
            <w:tcMar>
              <w:top w:w="15" w:type="dxa"/>
              <w:left w:w="81" w:type="dxa"/>
              <w:bottom w:w="0" w:type="dxa"/>
              <w:right w:w="81" w:type="dxa"/>
            </w:tcMar>
          </w:tcPr>
          <w:p>
            <w:pPr>
              <w:pStyle w:val="57"/>
            </w:pPr>
            <w:r>
              <w:rPr>
                <w:rFonts w:cs="Arial"/>
                <w:szCs w:val="18"/>
                <w:lang w:val="en-US"/>
              </w:rPr>
              <w:t>119</w:t>
            </w:r>
          </w:p>
        </w:tc>
        <w:tc>
          <w:tcPr>
            <w:tcW w:w="258" w:type="pct"/>
            <w:shd w:val="clear" w:color="auto" w:fill="auto"/>
            <w:tcMar>
              <w:top w:w="15" w:type="dxa"/>
              <w:left w:w="81" w:type="dxa"/>
              <w:bottom w:w="0" w:type="dxa"/>
              <w:right w:w="81" w:type="dxa"/>
            </w:tcMar>
          </w:tcPr>
          <w:p>
            <w:pPr>
              <w:pStyle w:val="57"/>
            </w:pPr>
            <w:r>
              <w:rPr>
                <w:rFonts w:cs="Arial"/>
                <w:szCs w:val="18"/>
              </w:rPr>
              <w:t>133</w:t>
            </w:r>
          </w:p>
        </w:tc>
        <w:tc>
          <w:tcPr>
            <w:tcW w:w="259" w:type="pct"/>
            <w:shd w:val="clear" w:color="auto" w:fill="auto"/>
          </w:tcPr>
          <w:p>
            <w:pPr>
              <w:pStyle w:val="57"/>
            </w:pPr>
            <w:r>
              <w:rPr>
                <w:rFonts w:cs="Arial"/>
                <w:szCs w:val="18"/>
              </w:rPr>
              <w:t>162</w:t>
            </w:r>
          </w:p>
        </w:tc>
        <w:tc>
          <w:tcPr>
            <w:tcW w:w="259" w:type="pct"/>
            <w:tcMar>
              <w:top w:w="15" w:type="dxa"/>
              <w:left w:w="81" w:type="dxa"/>
              <w:bottom w:w="0" w:type="dxa"/>
              <w:right w:w="81" w:type="dxa"/>
            </w:tcMar>
          </w:tcPr>
          <w:p>
            <w:pPr>
              <w:pStyle w:val="57"/>
            </w:pPr>
            <w:r>
              <w:rPr>
                <w:rFonts w:cs="Arial"/>
                <w:szCs w:val="18"/>
              </w:rPr>
              <w:t>189</w:t>
            </w:r>
          </w:p>
        </w:tc>
        <w:tc>
          <w:tcPr>
            <w:tcW w:w="258" w:type="pct"/>
            <w:shd w:val="clear" w:color="auto" w:fill="auto"/>
          </w:tcPr>
          <w:p>
            <w:pPr>
              <w:pStyle w:val="57"/>
            </w:pPr>
            <w:r>
              <w:rPr>
                <w:rFonts w:cs="Arial"/>
                <w:szCs w:val="18"/>
              </w:rPr>
              <w:t>217</w:t>
            </w:r>
          </w:p>
        </w:tc>
        <w:tc>
          <w:tcPr>
            <w:tcW w:w="302" w:type="pct"/>
            <w:tcMar>
              <w:top w:w="15" w:type="dxa"/>
              <w:left w:w="81" w:type="dxa"/>
              <w:bottom w:w="0" w:type="dxa"/>
              <w:right w:w="81" w:type="dxa"/>
            </w:tcMar>
          </w:tcPr>
          <w:p>
            <w:pPr>
              <w:pStyle w:val="57"/>
            </w:pPr>
            <w:r>
              <w:rPr>
                <w:rFonts w:cs="Arial"/>
                <w:szCs w:val="18"/>
              </w:rPr>
              <w:t>245</w:t>
            </w:r>
          </w:p>
        </w:tc>
        <w:tc>
          <w:tcPr>
            <w:tcW w:w="255" w:type="pct"/>
          </w:tcPr>
          <w:p>
            <w:pPr>
              <w:pStyle w:val="57"/>
              <w:rPr>
                <w:rFonts w:cs="Arial"/>
                <w:szCs w:val="18"/>
              </w:rPr>
            </w:pPr>
            <w:r>
              <w:t>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trPr>
        <w:tc>
          <w:tcPr>
            <w:tcW w:w="287" w:type="pct"/>
            <w:shd w:val="clear" w:color="auto" w:fill="auto"/>
            <w:tcMar>
              <w:top w:w="15" w:type="dxa"/>
              <w:left w:w="81" w:type="dxa"/>
              <w:bottom w:w="0" w:type="dxa"/>
              <w:right w:w="81" w:type="dxa"/>
            </w:tcMar>
          </w:tcPr>
          <w:p>
            <w:pPr>
              <w:pStyle w:val="57"/>
            </w:pPr>
            <w:r>
              <w:t>60</w:t>
            </w:r>
          </w:p>
        </w:tc>
        <w:tc>
          <w:tcPr>
            <w:tcW w:w="313" w:type="pct"/>
          </w:tcPr>
          <w:p>
            <w:pPr>
              <w:pStyle w:val="57"/>
              <w:rPr>
                <w:rFonts w:cs="Arial"/>
                <w:szCs w:val="18"/>
              </w:rPr>
            </w:pPr>
            <w:r>
              <w:rPr>
                <w:rFonts w:cs="Arial"/>
                <w:szCs w:val="18"/>
              </w:rPr>
              <w:t>N/A</w:t>
            </w:r>
          </w:p>
        </w:tc>
        <w:tc>
          <w:tcPr>
            <w:tcW w:w="313" w:type="pct"/>
            <w:shd w:val="clear" w:color="auto" w:fill="auto"/>
            <w:tcMar>
              <w:top w:w="15" w:type="dxa"/>
              <w:left w:w="81" w:type="dxa"/>
              <w:bottom w:w="0" w:type="dxa"/>
              <w:right w:w="81" w:type="dxa"/>
            </w:tcMar>
          </w:tcPr>
          <w:p>
            <w:pPr>
              <w:pStyle w:val="57"/>
            </w:pPr>
            <w:r>
              <w:rPr>
                <w:rFonts w:cs="Arial"/>
                <w:szCs w:val="18"/>
              </w:rPr>
              <w:t>N/A</w:t>
            </w:r>
          </w:p>
        </w:tc>
        <w:tc>
          <w:tcPr>
            <w:tcW w:w="345" w:type="pct"/>
            <w:shd w:val="clear" w:color="auto" w:fill="auto"/>
            <w:tcMar>
              <w:top w:w="15" w:type="dxa"/>
              <w:left w:w="81" w:type="dxa"/>
              <w:bottom w:w="0" w:type="dxa"/>
              <w:right w:w="81" w:type="dxa"/>
            </w:tcMar>
          </w:tcPr>
          <w:p>
            <w:pPr>
              <w:pStyle w:val="57"/>
            </w:pPr>
            <w:r>
              <w:rPr>
                <w:rFonts w:cs="Arial"/>
                <w:szCs w:val="18"/>
              </w:rPr>
              <w:t>11</w:t>
            </w:r>
          </w:p>
        </w:tc>
        <w:tc>
          <w:tcPr>
            <w:tcW w:w="345" w:type="pct"/>
            <w:shd w:val="clear" w:color="auto" w:fill="auto"/>
            <w:tcMar>
              <w:top w:w="15" w:type="dxa"/>
              <w:left w:w="81" w:type="dxa"/>
              <w:bottom w:w="0" w:type="dxa"/>
              <w:right w:w="81" w:type="dxa"/>
            </w:tcMar>
          </w:tcPr>
          <w:p>
            <w:pPr>
              <w:pStyle w:val="57"/>
            </w:pPr>
            <w:r>
              <w:rPr>
                <w:rFonts w:cs="Arial"/>
                <w:szCs w:val="18"/>
              </w:rPr>
              <w:t>18</w:t>
            </w:r>
          </w:p>
        </w:tc>
        <w:tc>
          <w:tcPr>
            <w:tcW w:w="301" w:type="pct"/>
            <w:shd w:val="clear" w:color="auto" w:fill="auto"/>
            <w:tcMar>
              <w:top w:w="15" w:type="dxa"/>
              <w:left w:w="81" w:type="dxa"/>
              <w:bottom w:w="0" w:type="dxa"/>
              <w:right w:w="81" w:type="dxa"/>
            </w:tcMar>
          </w:tcPr>
          <w:p>
            <w:pPr>
              <w:pStyle w:val="57"/>
            </w:pPr>
            <w:r>
              <w:rPr>
                <w:rFonts w:cs="Arial"/>
                <w:szCs w:val="18"/>
              </w:rPr>
              <w:t>24</w:t>
            </w:r>
          </w:p>
        </w:tc>
        <w:tc>
          <w:tcPr>
            <w:tcW w:w="301" w:type="pct"/>
            <w:shd w:val="clear" w:color="auto" w:fill="auto"/>
            <w:tcMar>
              <w:top w:w="15" w:type="dxa"/>
              <w:left w:w="81" w:type="dxa"/>
              <w:bottom w:w="0" w:type="dxa"/>
              <w:right w:w="81" w:type="dxa"/>
            </w:tcMar>
          </w:tcPr>
          <w:p>
            <w:pPr>
              <w:pStyle w:val="57"/>
            </w:pPr>
            <w:r>
              <w:rPr>
                <w:rFonts w:cs="Arial"/>
                <w:szCs w:val="18"/>
              </w:rPr>
              <w:t>31</w:t>
            </w:r>
          </w:p>
        </w:tc>
        <w:tc>
          <w:tcPr>
            <w:tcW w:w="302" w:type="pct"/>
          </w:tcPr>
          <w:p>
            <w:pPr>
              <w:pStyle w:val="57"/>
            </w:pPr>
            <w:r>
              <w:rPr>
                <w:rFonts w:cs="Arial"/>
                <w:szCs w:val="18"/>
              </w:rPr>
              <w:t>38</w:t>
            </w:r>
          </w:p>
        </w:tc>
        <w:tc>
          <w:tcPr>
            <w:tcW w:w="301" w:type="pct"/>
            <w:tcMar>
              <w:top w:w="15" w:type="dxa"/>
              <w:left w:w="81" w:type="dxa"/>
              <w:bottom w:w="0" w:type="dxa"/>
              <w:right w:w="81" w:type="dxa"/>
            </w:tcMar>
          </w:tcPr>
          <w:p>
            <w:pPr>
              <w:pStyle w:val="57"/>
            </w:pPr>
            <w:r>
              <w:rPr>
                <w:rFonts w:cs="Arial"/>
                <w:szCs w:val="18"/>
                <w:lang w:val="en-US"/>
              </w:rPr>
              <w:t>44</w:t>
            </w:r>
          </w:p>
        </w:tc>
        <w:tc>
          <w:tcPr>
            <w:tcW w:w="301" w:type="pct"/>
            <w:shd w:val="clear" w:color="auto" w:fill="auto"/>
          </w:tcPr>
          <w:p>
            <w:pPr>
              <w:pStyle w:val="57"/>
            </w:pPr>
            <w:r>
              <w:rPr>
                <w:rFonts w:cs="Arial"/>
                <w:szCs w:val="18"/>
              </w:rPr>
              <w:t>51</w:t>
            </w:r>
          </w:p>
        </w:tc>
        <w:tc>
          <w:tcPr>
            <w:tcW w:w="302" w:type="pct"/>
            <w:tcMar>
              <w:top w:w="15" w:type="dxa"/>
              <w:left w:w="81" w:type="dxa"/>
              <w:bottom w:w="0" w:type="dxa"/>
              <w:right w:w="81" w:type="dxa"/>
            </w:tcMar>
          </w:tcPr>
          <w:p>
            <w:pPr>
              <w:pStyle w:val="57"/>
            </w:pPr>
            <w:r>
              <w:rPr>
                <w:rFonts w:cs="Arial"/>
                <w:szCs w:val="18"/>
                <w:lang w:val="en-US"/>
              </w:rPr>
              <w:t>58</w:t>
            </w:r>
          </w:p>
        </w:tc>
        <w:tc>
          <w:tcPr>
            <w:tcW w:w="258" w:type="pct"/>
            <w:shd w:val="clear" w:color="auto" w:fill="auto"/>
            <w:tcMar>
              <w:top w:w="15" w:type="dxa"/>
              <w:left w:w="81" w:type="dxa"/>
              <w:bottom w:w="0" w:type="dxa"/>
              <w:right w:w="81" w:type="dxa"/>
            </w:tcMar>
          </w:tcPr>
          <w:p>
            <w:pPr>
              <w:pStyle w:val="57"/>
            </w:pPr>
            <w:r>
              <w:rPr>
                <w:rFonts w:cs="Arial"/>
                <w:szCs w:val="18"/>
              </w:rPr>
              <w:t>65</w:t>
            </w:r>
          </w:p>
        </w:tc>
        <w:tc>
          <w:tcPr>
            <w:tcW w:w="259" w:type="pct"/>
            <w:shd w:val="clear" w:color="auto" w:fill="auto"/>
          </w:tcPr>
          <w:p>
            <w:pPr>
              <w:pStyle w:val="57"/>
            </w:pPr>
            <w:r>
              <w:rPr>
                <w:rFonts w:cs="Arial"/>
                <w:szCs w:val="18"/>
              </w:rPr>
              <w:t>79</w:t>
            </w:r>
          </w:p>
        </w:tc>
        <w:tc>
          <w:tcPr>
            <w:tcW w:w="259" w:type="pct"/>
            <w:tcMar>
              <w:top w:w="15" w:type="dxa"/>
              <w:left w:w="81" w:type="dxa"/>
              <w:bottom w:w="0" w:type="dxa"/>
              <w:right w:w="81" w:type="dxa"/>
            </w:tcMar>
          </w:tcPr>
          <w:p>
            <w:pPr>
              <w:pStyle w:val="57"/>
            </w:pPr>
            <w:r>
              <w:rPr>
                <w:rFonts w:cs="Arial"/>
                <w:szCs w:val="18"/>
              </w:rPr>
              <w:t>93</w:t>
            </w:r>
          </w:p>
        </w:tc>
        <w:tc>
          <w:tcPr>
            <w:tcW w:w="258" w:type="pct"/>
            <w:shd w:val="clear" w:color="auto" w:fill="auto"/>
          </w:tcPr>
          <w:p>
            <w:pPr>
              <w:pStyle w:val="57"/>
            </w:pPr>
            <w:r>
              <w:rPr>
                <w:rFonts w:cs="Arial"/>
                <w:szCs w:val="18"/>
              </w:rPr>
              <w:t>107</w:t>
            </w:r>
          </w:p>
        </w:tc>
        <w:tc>
          <w:tcPr>
            <w:tcW w:w="302" w:type="pct"/>
            <w:tcMar>
              <w:top w:w="15" w:type="dxa"/>
              <w:left w:w="81" w:type="dxa"/>
              <w:bottom w:w="0" w:type="dxa"/>
              <w:right w:w="81" w:type="dxa"/>
            </w:tcMar>
          </w:tcPr>
          <w:p>
            <w:pPr>
              <w:pStyle w:val="57"/>
            </w:pPr>
            <w:r>
              <w:rPr>
                <w:rFonts w:cs="Arial"/>
                <w:szCs w:val="18"/>
              </w:rPr>
              <w:t>121</w:t>
            </w:r>
          </w:p>
        </w:tc>
        <w:tc>
          <w:tcPr>
            <w:tcW w:w="255" w:type="pct"/>
          </w:tcPr>
          <w:p>
            <w:pPr>
              <w:pStyle w:val="57"/>
              <w:rPr>
                <w:rFonts w:cs="Arial"/>
                <w:szCs w:val="18"/>
              </w:rPr>
            </w:pPr>
            <w:r>
              <w:t>135</w:t>
            </w:r>
          </w:p>
        </w:tc>
      </w:tr>
    </w:tbl>
    <w:p>
      <w:pPr>
        <w:rPr>
          <w:rFonts w:hint="eastAsia"/>
          <w:lang w:val="en-US" w:eastAsia="zh-CN"/>
        </w:rPr>
      </w:pPr>
    </w:p>
    <w:p>
      <w:pPr>
        <w:rPr>
          <w:rFonts w:hint="eastAsia"/>
          <w:lang w:val="en-US" w:eastAsia="zh-CN"/>
        </w:rPr>
      </w:pPr>
      <w:r>
        <w:rPr>
          <w:rFonts w:hint="eastAsia"/>
          <w:lang w:val="en-US" w:eastAsia="zh-CN"/>
        </w:rPr>
        <w:t>Thus, 3M/15kHz PDSCH demodulation requirements could be considered for less than 5MHz.</w:t>
      </w:r>
    </w:p>
    <w:p>
      <w:pPr>
        <w:rPr>
          <w:rFonts w:hint="eastAsia"/>
          <w:lang w:val="en-US" w:eastAsia="zh-CN"/>
        </w:rPr>
      </w:pPr>
      <w:r>
        <w:rPr>
          <w:rFonts w:hint="eastAsia"/>
          <w:lang w:val="en-US" w:eastAsia="zh-CN"/>
        </w:rPr>
        <w:t>Regarding MCS and rank, the candidate MCS can include QPSK, 16QAM, 64QAM and 256QAM. And low rank (Rank 1, Rank 2) could be considered for PDSCH requirements.</w:t>
      </w:r>
    </w:p>
    <w:p>
      <w:pPr>
        <w:rPr>
          <w:rFonts w:hint="default"/>
          <w:lang w:val="en-US" w:eastAsia="zh-CN"/>
        </w:rPr>
      </w:pPr>
      <w:r>
        <w:rPr>
          <w:rFonts w:hint="eastAsia"/>
          <w:lang w:val="en-US" w:eastAsia="zh-CN"/>
        </w:rPr>
        <w:t>For antenna configuration, 2Rx could be considered.</w:t>
      </w:r>
    </w:p>
    <w:p>
      <w:pPr>
        <w:rPr>
          <w:rFonts w:hint="default"/>
          <w:b/>
          <w:bCs/>
          <w:i/>
          <w:iCs/>
          <w:szCs w:val="21"/>
          <w:lang w:val="en-US" w:eastAsia="zh-CN"/>
        </w:rPr>
      </w:pPr>
      <w:r>
        <w:rPr>
          <w:rFonts w:hint="eastAsia"/>
          <w:b/>
          <w:bCs/>
          <w:i/>
          <w:iCs/>
          <w:szCs w:val="21"/>
        </w:rPr>
        <w:t xml:space="preserve">Proposal </w:t>
      </w:r>
      <w:r>
        <w:rPr>
          <w:rFonts w:hint="eastAsia"/>
          <w:b/>
          <w:bCs/>
          <w:i/>
          <w:iCs/>
          <w:szCs w:val="21"/>
          <w:lang w:val="en-US" w:eastAsia="zh-CN"/>
        </w:rPr>
        <w:t>3. Define 3M/15kHz PDSCH demodulation requirements for less than 5MHz .</w:t>
      </w:r>
    </w:p>
    <w:p>
      <w:pPr>
        <w:rPr>
          <w:rFonts w:hint="eastAsia"/>
          <w:b/>
          <w:bCs/>
          <w:i/>
          <w:iCs/>
          <w:szCs w:val="21"/>
          <w:lang w:val="en-US" w:eastAsia="zh-CN"/>
        </w:rPr>
      </w:pPr>
      <w:r>
        <w:rPr>
          <w:rFonts w:hint="eastAsia"/>
          <w:b/>
          <w:bCs/>
          <w:i/>
          <w:iCs/>
          <w:szCs w:val="21"/>
        </w:rPr>
        <w:t xml:space="preserve">Proposal </w:t>
      </w:r>
      <w:r>
        <w:rPr>
          <w:rFonts w:hint="eastAsia"/>
          <w:b/>
          <w:bCs/>
          <w:i/>
          <w:iCs/>
          <w:szCs w:val="21"/>
          <w:lang w:val="en-US" w:eastAsia="zh-CN"/>
        </w:rPr>
        <w:t>4. Considering QPSK, 16QAM for PDSCH requirements .</w:t>
      </w:r>
    </w:p>
    <w:p>
      <w:pPr>
        <w:rPr>
          <w:rFonts w:hint="default"/>
          <w:b/>
          <w:bCs/>
          <w:i/>
          <w:iCs/>
          <w:szCs w:val="21"/>
          <w:lang w:val="en-US" w:eastAsia="zh-CN"/>
        </w:rPr>
      </w:pPr>
      <w:r>
        <w:rPr>
          <w:rFonts w:hint="eastAsia"/>
          <w:b/>
          <w:bCs/>
          <w:i/>
          <w:iCs/>
          <w:szCs w:val="21"/>
        </w:rPr>
        <w:t xml:space="preserve">Proposal </w:t>
      </w:r>
      <w:r>
        <w:rPr>
          <w:rFonts w:hint="eastAsia"/>
          <w:b/>
          <w:bCs/>
          <w:i/>
          <w:iCs/>
          <w:szCs w:val="21"/>
          <w:lang w:val="en-US" w:eastAsia="zh-CN"/>
        </w:rPr>
        <w:t>5. Considering 2Rx for PDSCH requirements .</w:t>
      </w:r>
    </w:p>
    <w:p>
      <w:pPr>
        <w:bidi w:val="0"/>
        <w:outlineLvl w:val="1"/>
        <w:rPr>
          <w:rFonts w:hint="eastAsia"/>
          <w:b/>
          <w:bCs/>
          <w:sz w:val="24"/>
          <w:szCs w:val="24"/>
          <w:lang w:val="en-US" w:eastAsia="zh-CN"/>
        </w:rPr>
      </w:pPr>
      <w:r>
        <w:rPr>
          <w:rFonts w:hint="eastAsia"/>
          <w:b/>
          <w:bCs/>
          <w:sz w:val="24"/>
          <w:szCs w:val="24"/>
          <w:lang w:val="en-US" w:eastAsia="zh-CN"/>
        </w:rPr>
        <w:t>2.3 PDCCH requirements</w:t>
      </w:r>
    </w:p>
    <w:p>
      <w:pPr>
        <w:rPr>
          <w:rFonts w:hint="eastAsia"/>
          <w:lang w:val="en-US" w:eastAsia="zh-CN"/>
        </w:rPr>
      </w:pPr>
      <w:r>
        <w:rPr>
          <w:rFonts w:hint="eastAsia"/>
          <w:lang w:val="en-US" w:eastAsia="zh-CN"/>
        </w:rPr>
        <w:t xml:space="preserve">In existing NR system, a minimum bandwidth of the CORESET#0 is 24RBs. Also in all existing PDCCH requirements [2], the minimum number of CORESET is 24RBs. </w:t>
      </w:r>
    </w:p>
    <w:p>
      <w:pPr>
        <w:rPr>
          <w:rFonts w:hint="default"/>
          <w:lang w:val="en-US" w:eastAsia="zh-CN"/>
        </w:rPr>
      </w:pPr>
      <w:r>
        <w:rPr>
          <w:rFonts w:hint="eastAsia"/>
          <w:lang w:val="en-US" w:eastAsia="zh-CN"/>
        </w:rPr>
        <w:t>However, according to RAN1</w:t>
      </w:r>
      <w:r>
        <w:rPr>
          <w:rFonts w:hint="default"/>
          <w:lang w:val="en-US" w:eastAsia="zh-CN"/>
        </w:rPr>
        <w:t>’</w:t>
      </w:r>
      <w:r>
        <w:rPr>
          <w:rFonts w:hint="eastAsia"/>
          <w:lang w:val="en-US" w:eastAsia="zh-CN"/>
        </w:rPr>
        <w:t>s agreements, three new CORESET#0 transmission bandwidths such as 12PRBs, 15PRBs and 20PRBs are supported for less than 5Mhz.</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numPr>
                <w:ilvl w:val="0"/>
                <w:numId w:val="8"/>
              </w:numPr>
              <w:overflowPunct w:val="0"/>
              <w:autoSpaceDE w:val="0"/>
              <w:autoSpaceDN w:val="0"/>
              <w:adjustRightInd w:val="0"/>
              <w:spacing w:after="180"/>
              <w:jc w:val="both"/>
              <w:textAlignment w:val="baseline"/>
              <w:rPr>
                <w:rFonts w:eastAsia="Times New Roman"/>
                <w:sz w:val="24"/>
                <w:highlight w:val="green"/>
                <w:lang w:eastAsia="zh-CN"/>
              </w:rPr>
            </w:pPr>
            <w:r>
              <w:rPr>
                <w:rFonts w:eastAsia="Times New Roman"/>
                <w:highlight w:val="green"/>
              </w:rPr>
              <w:t>For 3MHz channel bandwidth in all bands (max channel utilization 15 PRBs as already agreed in RAN1/RAN4)</w:t>
            </w:r>
          </w:p>
          <w:p>
            <w:pPr>
              <w:numPr>
                <w:ilvl w:val="1"/>
                <w:numId w:val="8"/>
              </w:numPr>
              <w:overflowPunct w:val="0"/>
              <w:autoSpaceDE w:val="0"/>
              <w:autoSpaceDN w:val="0"/>
              <w:adjustRightInd w:val="0"/>
              <w:spacing w:after="180"/>
              <w:jc w:val="both"/>
              <w:textAlignment w:val="baseline"/>
              <w:rPr>
                <w:rFonts w:eastAsia="Times New Roman"/>
                <w:sz w:val="22"/>
                <w:szCs w:val="22"/>
                <w:highlight w:val="green"/>
              </w:rPr>
            </w:pPr>
            <w:r>
              <w:rPr>
                <w:rFonts w:eastAsia="Times New Roman"/>
                <w:highlight w:val="green"/>
              </w:rPr>
              <w:t xml:space="preserve">For CORESET#0 transmission bandwidth, both 12 PRBs and 15 PRBs are supported </w:t>
            </w:r>
          </w:p>
          <w:p>
            <w:pPr>
              <w:numPr>
                <w:ilvl w:val="2"/>
                <w:numId w:val="8"/>
              </w:numPr>
              <w:overflowPunct w:val="0"/>
              <w:autoSpaceDE w:val="0"/>
              <w:autoSpaceDN w:val="0"/>
              <w:adjustRightInd w:val="0"/>
              <w:spacing w:after="180"/>
              <w:jc w:val="both"/>
              <w:textAlignment w:val="baseline"/>
              <w:rPr>
                <w:rFonts w:eastAsia="Times New Roman"/>
                <w:szCs w:val="24"/>
                <w:highlight w:val="green"/>
              </w:rPr>
            </w:pPr>
            <w:r>
              <w:rPr>
                <w:rFonts w:eastAsia="Times New Roman"/>
                <w:highlight w:val="green"/>
              </w:rPr>
              <w:t xml:space="preserve">In Case of 12 PRBs, </w:t>
            </w:r>
            <w:bookmarkStart w:id="5" w:name="OLE_LINK18"/>
            <w:r>
              <w:rPr>
                <w:rFonts w:eastAsia="Times New Roman"/>
                <w:highlight w:val="green"/>
              </w:rPr>
              <w:t xml:space="preserve">the legacy interleaved (R=2) CORESET CCE-to-REG mapping is used with </w:t>
            </w:r>
            <w:bookmarkStart w:id="6" w:name="OLE_LINK19"/>
            <w:r>
              <w:rPr>
                <w:rFonts w:hint="eastAsia" w:ascii="Cambria Math" w:hAnsi="Cambria Math" w:eastAsia="宋体"/>
                <w:i/>
                <w:iCs/>
                <w:highlight w:val="green"/>
                <w:lang w:val="en-US" w:eastAsia="zh-CN"/>
              </w:rPr>
              <w:t xml:space="preserve">N </w:t>
            </w:r>
            <w:r>
              <w:rPr>
                <w:rFonts w:eastAsia="Times New Roman"/>
                <w:highlight w:val="green"/>
                <w:vertAlign w:val="subscript"/>
              </w:rPr>
              <w:t>RB</w:t>
            </w:r>
            <w:r>
              <w:rPr>
                <w:rFonts w:eastAsia="Times New Roman"/>
                <w:highlight w:val="green"/>
              </w:rPr>
              <w:t xml:space="preserve"> </w:t>
            </w:r>
            <w:r>
              <w:rPr>
                <w:rFonts w:eastAsia="Times New Roman"/>
                <w:highlight w:val="green"/>
                <w:vertAlign w:val="superscript"/>
              </w:rPr>
              <w:t>CORESET</w:t>
            </w:r>
            <w:r>
              <w:rPr>
                <w:rFonts w:eastAsia="Times New Roman"/>
                <w:highlight w:val="green"/>
              </w:rPr>
              <w:t xml:space="preserve"> = 12,</w:t>
            </w:r>
            <w:bookmarkEnd w:id="6"/>
            <w:r>
              <w:rPr>
                <w:rFonts w:eastAsia="Times New Roman"/>
                <w:highlight w:val="green"/>
              </w:rPr>
              <w:t xml:space="preserve"> i.e., 12PRBs are indicated without puncturing</w:t>
            </w:r>
            <w:bookmarkEnd w:id="5"/>
            <w:r>
              <w:rPr>
                <w:rFonts w:eastAsia="Times New Roman"/>
                <w:highlight w:val="green"/>
              </w:rPr>
              <w:t>.</w:t>
            </w:r>
          </w:p>
          <w:p>
            <w:pPr>
              <w:numPr>
                <w:ilvl w:val="2"/>
                <w:numId w:val="8"/>
              </w:numPr>
              <w:overflowPunct w:val="0"/>
              <w:autoSpaceDE w:val="0"/>
              <w:autoSpaceDN w:val="0"/>
              <w:adjustRightInd w:val="0"/>
              <w:spacing w:after="180"/>
              <w:jc w:val="both"/>
              <w:textAlignment w:val="baseline"/>
              <w:rPr>
                <w:rFonts w:eastAsia="Times New Roman"/>
                <w:highlight w:val="green"/>
              </w:rPr>
            </w:pPr>
            <w:bookmarkStart w:id="7" w:name="_Hlk142294917"/>
            <w:r>
              <w:rPr>
                <w:rFonts w:eastAsia="Times New Roman"/>
                <w:highlight w:val="green"/>
              </w:rPr>
              <w:t xml:space="preserve">In Case of 15 PRBs, the </w:t>
            </w:r>
            <w:r>
              <w:rPr>
                <w:rFonts w:ascii="Cambria Math" w:hAnsi="Cambria Math" w:eastAsia="Times New Roman"/>
                <w:highlight w:val="green"/>
              </w:rPr>
              <w:t>𝑁</w:t>
            </w:r>
            <w:r>
              <w:rPr>
                <w:rFonts w:eastAsia="Times New Roman"/>
                <w:highlight w:val="green"/>
                <w:vertAlign w:val="subscript"/>
              </w:rPr>
              <w:t>RB</w:t>
            </w:r>
            <w:r>
              <w:rPr>
                <w:rFonts w:eastAsia="Times New Roman"/>
                <w:highlight w:val="green"/>
              </w:rPr>
              <w:t xml:space="preserve"> </w:t>
            </w:r>
            <w:r>
              <w:rPr>
                <w:rFonts w:eastAsia="Times New Roman"/>
                <w:highlight w:val="green"/>
                <w:vertAlign w:val="superscript"/>
              </w:rPr>
              <w:t>CORESET</w:t>
            </w:r>
            <w:r>
              <w:rPr>
                <w:rFonts w:eastAsia="Times New Roman"/>
                <w:highlight w:val="green"/>
              </w:rPr>
              <w:t xml:space="preserve"> = 24 CORESET#0 is punctured</w:t>
            </w:r>
          </w:p>
          <w:bookmarkEnd w:id="7"/>
          <w:p>
            <w:pPr>
              <w:numPr>
                <w:ilvl w:val="3"/>
                <w:numId w:val="8"/>
              </w:numPr>
              <w:overflowPunct w:val="0"/>
              <w:autoSpaceDE w:val="0"/>
              <w:autoSpaceDN w:val="0"/>
              <w:adjustRightInd w:val="0"/>
              <w:spacing w:after="180"/>
              <w:jc w:val="both"/>
              <w:textAlignment w:val="baseline"/>
              <w:rPr>
                <w:rFonts w:eastAsia="Times New Roman"/>
                <w:highlight w:val="green"/>
              </w:rPr>
            </w:pPr>
            <w:r>
              <w:rPr>
                <w:rFonts w:eastAsia="Times New Roman"/>
                <w:highlight w:val="green"/>
              </w:rPr>
              <w:t>Both interleaved (legacy interleaver size of R=2) and non-interleaved mapping are supported,</w:t>
            </w:r>
          </w:p>
          <w:p>
            <w:pPr>
              <w:numPr>
                <w:ilvl w:val="4"/>
                <w:numId w:val="8"/>
              </w:numPr>
              <w:overflowPunct w:val="0"/>
              <w:autoSpaceDE w:val="0"/>
              <w:autoSpaceDN w:val="0"/>
              <w:adjustRightInd w:val="0"/>
              <w:spacing w:after="180"/>
              <w:jc w:val="both"/>
              <w:textAlignment w:val="baseline"/>
              <w:rPr>
                <w:rFonts w:hint="default"/>
                <w:highlight w:val="green"/>
                <w:vertAlign w:val="baseline"/>
                <w:lang w:val="en-US" w:eastAsia="zh-CN"/>
              </w:rPr>
            </w:pPr>
            <w:r>
              <w:rPr>
                <w:rFonts w:eastAsia="Times New Roman"/>
                <w:highlight w:val="green"/>
              </w:rPr>
              <w:t>Some entries in the table are related with interleaved mapping and some are non-interleaved mapping.</w:t>
            </w:r>
          </w:p>
          <w:p>
            <w:pPr>
              <w:numPr>
                <w:ilvl w:val="0"/>
                <w:numId w:val="8"/>
              </w:numPr>
              <w:overflowPunct w:val="0"/>
              <w:autoSpaceDE w:val="0"/>
              <w:autoSpaceDN w:val="0"/>
              <w:adjustRightInd w:val="0"/>
              <w:spacing w:after="180"/>
              <w:jc w:val="both"/>
              <w:textAlignment w:val="baseline"/>
              <w:rPr>
                <w:rFonts w:hint="default"/>
                <w:highlight w:val="green"/>
                <w:vertAlign w:val="baseline"/>
                <w:lang w:val="en-US" w:eastAsia="zh-CN"/>
              </w:rPr>
            </w:pPr>
            <w:r>
              <w:rPr>
                <w:rFonts w:hint="default" w:eastAsia="Times New Roman"/>
                <w:highlight w:val="green"/>
                <w:lang w:val="en-US" w:eastAsia="zh-CN"/>
              </w:rPr>
              <w:t>For 5MHz channel BW, 20 PRBs CORESET#0 transmission BW is supported.</w:t>
            </w:r>
          </w:p>
          <w:p>
            <w:pPr>
              <w:numPr>
                <w:ilvl w:val="1"/>
                <w:numId w:val="8"/>
              </w:numPr>
              <w:overflowPunct w:val="0"/>
              <w:autoSpaceDE w:val="0"/>
              <w:autoSpaceDN w:val="0"/>
              <w:adjustRightInd w:val="0"/>
              <w:spacing w:after="180"/>
              <w:ind w:left="1440" w:leftChars="0" w:hanging="360" w:firstLineChars="0"/>
              <w:jc w:val="both"/>
              <w:textAlignment w:val="baseline"/>
              <w:rPr>
                <w:rFonts w:hint="default"/>
                <w:vertAlign w:val="baseline"/>
                <w:lang w:val="en-US" w:eastAsia="zh-CN"/>
              </w:rPr>
            </w:pPr>
            <w:r>
              <w:rPr>
                <w:rFonts w:hint="default" w:eastAsia="Times New Roman"/>
                <w:highlight w:val="green"/>
                <w:lang w:val="en-US" w:eastAsia="zh-CN"/>
              </w:rPr>
              <w:t>The upper 4 PRBs of the CORESET = 24 CORESET#0 are punctured to obtain 20 PRBs CORESET#0.</w:t>
            </w:r>
          </w:p>
        </w:tc>
      </w:tr>
    </w:tbl>
    <w:p>
      <w:pPr>
        <w:rPr>
          <w:rFonts w:hint="eastAsia"/>
          <w:lang w:val="en-US" w:eastAsia="zh-CN"/>
        </w:rPr>
      </w:pPr>
      <w:r>
        <w:rPr>
          <w:rFonts w:hint="eastAsia"/>
          <w:b/>
          <w:bCs/>
          <w:i/>
          <w:iCs/>
          <w:szCs w:val="21"/>
          <w:lang w:val="en-US" w:eastAsia="zh-CN"/>
        </w:rPr>
        <w:t>Observation1. Three new CORESET#0 is defined in RAN1 perspective.</w:t>
      </w:r>
    </w:p>
    <w:p>
      <w:r>
        <w:rPr>
          <w:rFonts w:hint="eastAsia"/>
          <w:lang w:val="en-US" w:eastAsia="zh-CN"/>
        </w:rPr>
        <w:t xml:space="preserve">From what we understand, </w:t>
      </w:r>
      <w:r>
        <w:t>PDCCH for NR overall has the following characteristics:</w:t>
      </w:r>
    </w:p>
    <w:p>
      <w:pPr>
        <w:pStyle w:val="12"/>
        <w:numPr>
          <w:ilvl w:val="0"/>
          <w:numId w:val="9"/>
        </w:numPr>
        <w:rPr>
          <w:rFonts w:ascii="Times New Roman" w:hAnsi="Times New Roman"/>
          <w:lang w:eastAsia="ja-JP"/>
        </w:rPr>
      </w:pPr>
      <w:r>
        <w:rPr>
          <w:rFonts w:ascii="Times New Roman" w:hAnsi="Times New Roman"/>
          <w:lang w:eastAsia="ja-JP"/>
        </w:rPr>
        <w:t>PDCCH occupies 1, 2, 4, 8, or 16 Control Channel Elements (CCEs).</w:t>
      </w:r>
    </w:p>
    <w:p>
      <w:pPr>
        <w:pStyle w:val="12"/>
        <w:numPr>
          <w:ilvl w:val="1"/>
          <w:numId w:val="9"/>
        </w:numPr>
        <w:rPr>
          <w:rFonts w:ascii="Times New Roman" w:hAnsi="Times New Roman"/>
          <w:lang w:eastAsia="ja-JP"/>
        </w:rPr>
      </w:pPr>
      <w:r>
        <w:rPr>
          <w:rFonts w:hint="eastAsia" w:ascii="Times New Roman" w:hAnsi="Times New Roman"/>
          <w:lang w:val="en-US" w:eastAsia="zh-CN"/>
        </w:rPr>
        <w:t xml:space="preserve"> </w:t>
      </w:r>
      <w:r>
        <w:rPr>
          <w:rFonts w:ascii="Times New Roman" w:hAnsi="Times New Roman"/>
          <w:lang w:eastAsia="ja-JP"/>
        </w:rPr>
        <w:t>1 CCE corresponds to 6 Resource Element Groups (REGs).</w:t>
      </w:r>
    </w:p>
    <w:p>
      <w:pPr>
        <w:pStyle w:val="12"/>
        <w:numPr>
          <w:ilvl w:val="2"/>
          <w:numId w:val="9"/>
        </w:numPr>
        <w:rPr>
          <w:rFonts w:ascii="Times New Roman" w:hAnsi="Times New Roman"/>
          <w:lang w:eastAsia="ja-JP"/>
        </w:rPr>
      </w:pPr>
      <w:r>
        <w:rPr>
          <w:rFonts w:ascii="Times New Roman" w:hAnsi="Times New Roman"/>
          <w:lang w:eastAsia="ja-JP"/>
        </w:rPr>
        <w:t>1 REG equals to 1 Resource Block (RB) in 1 OFDM symbol.</w:t>
      </w:r>
    </w:p>
    <w:p>
      <w:pPr>
        <w:pStyle w:val="12"/>
        <w:numPr>
          <w:ilvl w:val="0"/>
          <w:numId w:val="9"/>
        </w:numPr>
        <w:rPr>
          <w:rFonts w:ascii="Times New Roman" w:hAnsi="Times New Roman"/>
          <w:lang w:eastAsia="ja-JP"/>
        </w:rPr>
      </w:pPr>
      <w:r>
        <w:rPr>
          <w:rFonts w:ascii="Times New Roman" w:hAnsi="Times New Roman"/>
          <w:lang w:eastAsia="ja-JP"/>
        </w:rPr>
        <w:t>The CCE-to-REG mapping depends on a specific time-frequency resource configuration of a CORESET that up to 3 symbols in the time-domain.</w:t>
      </w:r>
    </w:p>
    <w:p>
      <w:pPr>
        <w:pStyle w:val="12"/>
        <w:numPr>
          <w:ilvl w:val="0"/>
          <w:numId w:val="9"/>
        </w:numPr>
        <w:rPr>
          <w:rFonts w:ascii="Times New Roman" w:hAnsi="Times New Roman"/>
          <w:lang w:eastAsia="ja-JP"/>
        </w:rPr>
      </w:pPr>
      <w:r>
        <w:rPr>
          <w:rFonts w:ascii="Times New Roman" w:hAnsi="Times New Roman"/>
          <w:lang w:eastAsia="ja-JP"/>
        </w:rPr>
        <w:t>The CCE-to-REG mapping can utilize one of the two following approaches:</w:t>
      </w:r>
    </w:p>
    <w:p>
      <w:pPr>
        <w:pStyle w:val="12"/>
        <w:numPr>
          <w:ilvl w:val="1"/>
          <w:numId w:val="9"/>
        </w:numPr>
        <w:rPr>
          <w:rFonts w:ascii="Times New Roman" w:hAnsi="Times New Roman"/>
          <w:lang w:eastAsia="ja-JP"/>
        </w:rPr>
      </w:pPr>
      <w:r>
        <w:rPr>
          <w:rFonts w:hint="eastAsia" w:ascii="Times New Roman" w:hAnsi="Times New Roman"/>
          <w:lang w:val="en-US" w:eastAsia="zh-CN"/>
        </w:rPr>
        <w:t xml:space="preserve"> </w:t>
      </w:r>
      <w:r>
        <w:rPr>
          <w:rFonts w:ascii="Times New Roman" w:hAnsi="Times New Roman"/>
          <w:lang w:eastAsia="ja-JP"/>
        </w:rPr>
        <w:t>Interleaved mapping</w:t>
      </w:r>
    </w:p>
    <w:p>
      <w:pPr>
        <w:pStyle w:val="12"/>
        <w:numPr>
          <w:ilvl w:val="1"/>
          <w:numId w:val="9"/>
        </w:numPr>
        <w:rPr>
          <w:rFonts w:hint="default"/>
          <w:lang w:val="en-US" w:eastAsia="zh-CN"/>
        </w:rPr>
      </w:pPr>
      <w:r>
        <w:rPr>
          <w:rFonts w:hint="eastAsia" w:ascii="Times New Roman" w:hAnsi="Times New Roman"/>
          <w:lang w:val="en-US" w:eastAsia="zh-CN"/>
        </w:rPr>
        <w:t xml:space="preserve"> </w:t>
      </w:r>
      <w:r>
        <w:rPr>
          <w:rFonts w:ascii="Times New Roman" w:hAnsi="Times New Roman"/>
          <w:lang w:eastAsia="ja-JP"/>
        </w:rPr>
        <w:t>Non-Interleaved mapp</w:t>
      </w:r>
      <w:r>
        <w:rPr>
          <w:rFonts w:hint="eastAsia" w:ascii="Times New Roman" w:hAnsi="Times New Roman"/>
          <w:lang w:val="en-US" w:eastAsia="zh-CN"/>
        </w:rPr>
        <w:t>ing</w:t>
      </w:r>
    </w:p>
    <w:p>
      <w:pPr>
        <w:rPr>
          <w:rFonts w:hint="default"/>
          <w:lang w:val="en-US" w:eastAsia="zh-CN"/>
        </w:rPr>
      </w:pPr>
      <w:r>
        <w:rPr>
          <w:rFonts w:hint="eastAsia"/>
          <w:lang w:val="en-US" w:eastAsia="zh-CN"/>
        </w:rPr>
        <w:t xml:space="preserve">However, from RAN4 demodulation perspective, the number of CORESET#0 is not the decisive factor for demodulation performance. The number of CCE has a significant impact for PDCCH requirements. </w:t>
      </w:r>
    </w:p>
    <w:p>
      <w:pPr>
        <w:rPr>
          <w:rFonts w:hint="default"/>
          <w:lang w:val="en-US" w:eastAsia="zh-CN"/>
        </w:rPr>
      </w:pPr>
      <w:r>
        <w:rPr>
          <w:rFonts w:hint="eastAsia"/>
          <w:lang w:val="en-US" w:eastAsia="zh-CN"/>
        </w:rPr>
        <w:t>Therefore, when</w:t>
      </w:r>
      <w:r>
        <w:rPr>
          <w:rFonts w:hint="default" w:ascii="Times New Roman" w:hAnsi="Times New Roman" w:cs="Times New Roman"/>
          <w:lang w:val="en-US" w:eastAsia="zh-CN"/>
        </w:rPr>
        <w:t xml:space="preserve"> </w:t>
      </w:r>
      <m:oMath>
        <m:sSubSup>
          <m:sSubSupPr>
            <m:ctrlPr>
              <w:rPr>
                <w:rFonts w:hint="default" w:ascii="Cambria Math" w:hAnsi="Cambria Math" w:cs="Times New Roman"/>
                <w:bCs w:val="0"/>
                <w:i/>
                <w:iCs/>
                <w:lang w:val="en-US"/>
              </w:rPr>
            </m:ctrlPr>
          </m:sSubSupPr>
          <m:e>
            <m:r>
              <m:rPr/>
              <w:rPr>
                <w:rFonts w:hint="default" w:ascii="Cambria Math" w:hAnsi="Cambria Math" w:cs="Times New Roman"/>
                <w:lang w:val="en-US" w:eastAsia="zh-CN"/>
              </w:rPr>
              <m:t>N</m:t>
            </m:r>
            <m:ctrlPr>
              <w:rPr>
                <w:rFonts w:hint="default" w:ascii="Cambria Math" w:hAnsi="Cambria Math" w:cs="Times New Roman"/>
                <w:bCs w:val="0"/>
                <w:i/>
                <w:iCs/>
                <w:lang w:val="en-US"/>
              </w:rPr>
            </m:ctrlPr>
          </m:e>
          <m:sub>
            <m:r>
              <m:rPr/>
              <w:rPr>
                <w:rFonts w:hint="default" w:ascii="Cambria Math" w:hAnsi="Cambria Math" w:cs="Times New Roman"/>
                <w:lang w:val="en-US" w:eastAsia="zh-CN"/>
              </w:rPr>
              <m:t>RB</m:t>
            </m:r>
            <m:ctrlPr>
              <w:rPr>
                <w:rFonts w:hint="default" w:ascii="Cambria Math" w:hAnsi="Cambria Math" w:cs="Times New Roman"/>
                <w:bCs w:val="0"/>
                <w:i/>
                <w:iCs/>
                <w:lang w:val="en-US"/>
              </w:rPr>
            </m:ctrlPr>
          </m:sub>
          <m:sup>
            <m:r>
              <m:rPr/>
              <w:rPr>
                <w:rFonts w:hint="default" w:ascii="Cambria Math" w:hAnsi="Cambria Math" w:cs="Times New Roman"/>
                <w:lang w:val="en-US" w:eastAsia="zh-CN"/>
              </w:rPr>
              <m:t>CORESET</m:t>
            </m:r>
            <m:ctrlPr>
              <w:rPr>
                <w:rFonts w:hint="default" w:ascii="Cambria Math" w:hAnsi="Cambria Math" w:cs="Times New Roman"/>
                <w:bCs w:val="0"/>
                <w:i/>
                <w:iCs/>
                <w:lang w:val="en-US"/>
              </w:rPr>
            </m:ctrlPr>
          </m:sup>
        </m:sSubSup>
        <m:r>
          <m:rPr/>
          <w:rPr>
            <w:rFonts w:hint="default" w:ascii="Cambria Math" w:hAnsi="Cambria Math" w:cs="Times New Roman"/>
            <w:lang w:val="en-US" w:eastAsia="zh-CN"/>
          </w:rPr>
          <m:t>=12</m:t>
        </m:r>
      </m:oMath>
      <w:r>
        <w:rPr>
          <w:rFonts w:hint="eastAsia" w:ascii="Cambria Math" w:hAnsi="Cambria Math" w:cs="Times New Roman"/>
          <w:i w:val="0"/>
          <w:lang w:val="en-US" w:eastAsia="zh-CN"/>
        </w:rPr>
        <w:t xml:space="preserve"> </w:t>
      </w:r>
      <w:r>
        <w:rPr>
          <w:rFonts w:hint="eastAsia"/>
          <w:lang w:val="en-US" w:eastAsia="zh-CN"/>
        </w:rPr>
        <w:t>or</w:t>
      </w:r>
      <w:r>
        <w:rPr>
          <w:rFonts w:hint="eastAsia" w:ascii="Cambria Math" w:hAnsi="Cambria Math" w:cs="Times New Roman"/>
          <w:i w:val="0"/>
          <w:lang w:val="en-US" w:eastAsia="zh-CN"/>
        </w:rPr>
        <w:t xml:space="preserve"> </w:t>
      </w:r>
      <m:oMath>
        <m:sSubSup>
          <m:sSubSupPr>
            <m:ctrlPr>
              <w:rPr>
                <w:rFonts w:ascii="Cambria Math" w:hAnsi="Cambria Math"/>
                <w:bCs w:val="0"/>
                <w:i/>
                <w:iCs/>
                <w:lang w:val="en-US"/>
              </w:rPr>
            </m:ctrlPr>
          </m:sSubSupPr>
          <m:e>
            <m:r>
              <m:rPr/>
              <w:rPr>
                <w:rFonts w:hint="default" w:ascii="Cambria Math" w:hAnsi="Cambria Math"/>
                <w:lang w:val="en-US" w:eastAsia="zh-CN"/>
              </w:rPr>
              <m:t>N</m:t>
            </m:r>
            <m:ctrlPr>
              <w:rPr>
                <w:rFonts w:ascii="Cambria Math" w:hAnsi="Cambria Math"/>
                <w:bCs w:val="0"/>
                <w:i/>
                <w:iCs/>
                <w:lang w:val="en-US"/>
              </w:rPr>
            </m:ctrlPr>
          </m:e>
          <m:sub>
            <m:r>
              <m:rPr/>
              <w:rPr>
                <w:rFonts w:hint="default" w:ascii="Cambria Math" w:hAnsi="Cambria Math"/>
                <w:lang w:val="en-US" w:eastAsia="zh-CN"/>
              </w:rPr>
              <m:t>RB</m:t>
            </m:r>
            <m:ctrlPr>
              <w:rPr>
                <w:rFonts w:ascii="Cambria Math" w:hAnsi="Cambria Math"/>
                <w:bCs w:val="0"/>
                <w:i/>
                <w:iCs/>
                <w:lang w:val="en-US"/>
              </w:rPr>
            </m:ctrlPr>
          </m:sub>
          <m:sup>
            <m:r>
              <m:rPr/>
              <w:rPr>
                <w:rFonts w:hint="default" w:ascii="Cambria Math" w:hAnsi="Cambria Math"/>
                <w:lang w:val="en-US" w:eastAsia="zh-CN"/>
              </w:rPr>
              <m:t>CORESET</m:t>
            </m:r>
            <m:ctrlPr>
              <w:rPr>
                <w:rFonts w:ascii="Cambria Math" w:hAnsi="Cambria Math"/>
                <w:bCs w:val="0"/>
                <w:i/>
                <w:iCs/>
                <w:lang w:val="en-US"/>
              </w:rPr>
            </m:ctrlPr>
          </m:sup>
        </m:sSubSup>
        <m:r>
          <m:rPr/>
          <w:rPr>
            <w:rFonts w:hint="default" w:ascii="Cambria Math" w:hAnsi="Cambria Math"/>
            <w:lang w:val="en-US" w:eastAsia="zh-CN"/>
          </w:rPr>
          <m:t>=1</m:t>
        </m:r>
        <m:r>
          <m:rPr/>
          <w:rPr>
            <w:rFonts w:hint="eastAsia" w:ascii="Cambria Math" w:hAnsi="Cambria Math"/>
            <w:lang w:val="en-US" w:eastAsia="zh-CN"/>
          </w:rPr>
          <m:t>5</m:t>
        </m:r>
      </m:oMath>
      <w:r>
        <w:rPr>
          <w:rFonts w:hint="eastAsia"/>
          <w:lang w:val="en-US" w:eastAsia="zh-CN"/>
        </w:rPr>
        <w:t>, the  aggregation levels and PDCCH symbols can be supported in following Table.</w:t>
      </w:r>
    </w:p>
    <w:p>
      <w:pPr>
        <w:jc w:val="center"/>
        <w:rPr>
          <w:rFonts w:hint="default" w:hAnsi="Cambria Math"/>
          <w:bCs w:val="0"/>
          <w:i w:val="0"/>
          <w:iCs/>
          <w:sz w:val="20"/>
          <w:szCs w:val="20"/>
          <w:lang w:val="en-US" w:eastAsia="zh-CN"/>
        </w:rPr>
      </w:pPr>
      <w:r>
        <w:rPr>
          <w:rFonts w:hint="eastAsia" w:hAnsi="Cambria Math"/>
          <w:bCs w:val="0"/>
          <w:i w:val="0"/>
          <w:iCs/>
          <w:sz w:val="20"/>
          <w:szCs w:val="20"/>
          <w:lang w:val="en-US" w:eastAsia="zh-CN"/>
        </w:rPr>
        <w:t xml:space="preserve">Table 2-1. Aggregation levels and PDCCH symbols when </w:t>
      </w:r>
      <m:oMath>
        <m:sSubSup>
          <m:sSubSupPr>
            <m:ctrlPr>
              <w:rPr>
                <w:rFonts w:hint="default" w:ascii="Cambria Math" w:hAnsi="Cambria Math" w:cs="Times New Roman"/>
                <w:bCs w:val="0"/>
                <w:i/>
                <w:iCs/>
                <w:sz w:val="20"/>
                <w:szCs w:val="20"/>
                <w:lang w:val="en-US"/>
              </w:rPr>
            </m:ctrlPr>
          </m:sSubSupPr>
          <m:e>
            <m:r>
              <m:rPr/>
              <w:rPr>
                <w:rFonts w:hint="default" w:ascii="Cambria Math" w:hAnsi="Cambria Math" w:cs="Times New Roman"/>
                <w:sz w:val="20"/>
                <w:szCs w:val="20"/>
                <w:lang w:val="en-US" w:eastAsia="zh-CN"/>
              </w:rPr>
              <m:t>N</m:t>
            </m:r>
            <m:ctrlPr>
              <w:rPr>
                <w:rFonts w:hint="default" w:ascii="Cambria Math" w:hAnsi="Cambria Math" w:cs="Times New Roman"/>
                <w:bCs w:val="0"/>
                <w:i/>
                <w:iCs/>
                <w:sz w:val="20"/>
                <w:szCs w:val="20"/>
                <w:lang w:val="en-US"/>
              </w:rPr>
            </m:ctrlPr>
          </m:e>
          <m:sub>
            <m:r>
              <m:rPr/>
              <w:rPr>
                <w:rFonts w:hint="default" w:ascii="Cambria Math" w:hAnsi="Cambria Math" w:cs="Times New Roman"/>
                <w:sz w:val="20"/>
                <w:szCs w:val="20"/>
                <w:lang w:val="en-US" w:eastAsia="zh-CN"/>
              </w:rPr>
              <m:t>RB</m:t>
            </m:r>
            <m:ctrlPr>
              <w:rPr>
                <w:rFonts w:hint="default" w:ascii="Cambria Math" w:hAnsi="Cambria Math" w:cs="Times New Roman"/>
                <w:bCs w:val="0"/>
                <w:i/>
                <w:iCs/>
                <w:sz w:val="20"/>
                <w:szCs w:val="20"/>
                <w:lang w:val="en-US"/>
              </w:rPr>
            </m:ctrlPr>
          </m:sub>
          <m:sup>
            <m:r>
              <m:rPr/>
              <w:rPr>
                <w:rFonts w:hint="default" w:ascii="Cambria Math" w:hAnsi="Cambria Math" w:cs="Times New Roman"/>
                <w:sz w:val="20"/>
                <w:szCs w:val="20"/>
                <w:lang w:val="en-US" w:eastAsia="zh-CN"/>
              </w:rPr>
              <m:t>CORESET</m:t>
            </m:r>
            <m:ctrlPr>
              <w:rPr>
                <w:rFonts w:hint="default" w:ascii="Cambria Math" w:hAnsi="Cambria Math" w:cs="Times New Roman"/>
                <w:bCs w:val="0"/>
                <w:i/>
                <w:iCs/>
                <w:sz w:val="20"/>
                <w:szCs w:val="20"/>
                <w:lang w:val="en-US"/>
              </w:rPr>
            </m:ctrlPr>
          </m:sup>
        </m:sSubSup>
        <m:r>
          <m:rPr/>
          <w:rPr>
            <w:rFonts w:hint="default" w:ascii="Cambria Math" w:hAnsi="Cambria Math" w:cs="Times New Roman"/>
            <w:sz w:val="20"/>
            <w:szCs w:val="20"/>
            <w:lang w:val="en-US" w:eastAsia="zh-CN"/>
          </w:rPr>
          <m:t>=12</m:t>
        </m:r>
      </m:oMath>
      <w:r>
        <w:rPr>
          <w:rFonts w:hint="eastAsia" w:ascii="Cambria Math" w:hAnsi="Cambria Math" w:cs="Times New Roman"/>
          <w:i w:val="0"/>
          <w:sz w:val="20"/>
          <w:szCs w:val="20"/>
          <w:lang w:val="en-US" w:eastAsia="zh-CN"/>
        </w:rPr>
        <w:t xml:space="preserve"> or </w:t>
      </w:r>
      <m:oMath>
        <m:sSubSup>
          <m:sSubSupPr>
            <m:ctrlPr>
              <w:rPr>
                <w:rFonts w:ascii="Cambria Math" w:hAnsi="Cambria Math"/>
                <w:bCs w:val="0"/>
                <w:i/>
                <w:iCs/>
                <w:sz w:val="20"/>
                <w:szCs w:val="20"/>
                <w:lang w:val="en-US"/>
              </w:rPr>
            </m:ctrlPr>
          </m:sSubSupPr>
          <m:e>
            <m:r>
              <m:rPr/>
              <w:rPr>
                <w:rFonts w:hint="default" w:ascii="Cambria Math" w:hAnsi="Cambria Math"/>
                <w:sz w:val="20"/>
                <w:szCs w:val="20"/>
                <w:lang w:val="en-US" w:eastAsia="zh-CN"/>
              </w:rPr>
              <m:t>N</m:t>
            </m:r>
            <m:ctrlPr>
              <w:rPr>
                <w:rFonts w:ascii="Cambria Math" w:hAnsi="Cambria Math"/>
                <w:bCs w:val="0"/>
                <w:i/>
                <w:iCs/>
                <w:sz w:val="20"/>
                <w:szCs w:val="20"/>
                <w:lang w:val="en-US"/>
              </w:rPr>
            </m:ctrlPr>
          </m:e>
          <m:sub>
            <m:r>
              <m:rPr/>
              <w:rPr>
                <w:rFonts w:hint="default" w:ascii="Cambria Math" w:hAnsi="Cambria Math"/>
                <w:sz w:val="20"/>
                <w:szCs w:val="20"/>
                <w:lang w:val="en-US" w:eastAsia="zh-CN"/>
              </w:rPr>
              <m:t>RB</m:t>
            </m:r>
            <m:ctrlPr>
              <w:rPr>
                <w:rFonts w:ascii="Cambria Math" w:hAnsi="Cambria Math"/>
                <w:bCs w:val="0"/>
                <w:i/>
                <w:iCs/>
                <w:sz w:val="20"/>
                <w:szCs w:val="20"/>
                <w:lang w:val="en-US"/>
              </w:rPr>
            </m:ctrlPr>
          </m:sub>
          <m:sup>
            <m:r>
              <m:rPr/>
              <w:rPr>
                <w:rFonts w:hint="default" w:ascii="Cambria Math" w:hAnsi="Cambria Math"/>
                <w:sz w:val="20"/>
                <w:szCs w:val="20"/>
                <w:lang w:val="en-US" w:eastAsia="zh-CN"/>
              </w:rPr>
              <m:t>CORESET</m:t>
            </m:r>
            <m:ctrlPr>
              <w:rPr>
                <w:rFonts w:ascii="Cambria Math" w:hAnsi="Cambria Math"/>
                <w:bCs w:val="0"/>
                <w:i/>
                <w:iCs/>
                <w:sz w:val="20"/>
                <w:szCs w:val="20"/>
                <w:lang w:val="en-US"/>
              </w:rPr>
            </m:ctrlPr>
          </m:sup>
        </m:sSubSup>
        <m:r>
          <m:rPr/>
          <w:rPr>
            <w:rFonts w:hint="default" w:ascii="Cambria Math" w:hAnsi="Cambria Math"/>
            <w:sz w:val="20"/>
            <w:szCs w:val="20"/>
            <w:lang w:val="en-US" w:eastAsia="zh-CN"/>
          </w:rPr>
          <m:t>=1</m:t>
        </m:r>
      </m:oMath>
      <w:r>
        <w:rPr>
          <w:rFonts w:hint="eastAsia" w:hAnsi="Cambria Math"/>
          <w:i w:val="0"/>
          <w:sz w:val="20"/>
          <w:szCs w:val="20"/>
          <w:lang w:val="en-US" w:eastAsia="zh-CN"/>
        </w:rPr>
        <w:t>5</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lang w:val="en-US" w:eastAsia="zh-CN"/>
              </w:rPr>
              <w:t>PDCCH symbols</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lang w:val="en-US" w:eastAsia="zh-CN"/>
              </w:rPr>
              <w:t>Aggregation levels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1</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2</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3</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4</w:t>
            </w:r>
          </w:p>
        </w:tc>
      </w:tr>
    </w:tbl>
    <w:p>
      <w:pPr>
        <w:rPr>
          <w:rFonts w:hint="default" w:hAnsi="Cambria Math"/>
          <w:bCs w:val="0"/>
          <w:i w:val="0"/>
          <w:iCs/>
          <w:lang w:val="en-US" w:eastAsia="zh-CN"/>
        </w:rPr>
      </w:pPr>
    </w:p>
    <w:p>
      <w:pPr>
        <w:rPr>
          <w:rFonts w:hint="eastAsia"/>
          <w:lang w:val="en-US" w:eastAsia="zh-CN"/>
        </w:rPr>
      </w:pPr>
      <w:r>
        <w:rPr>
          <w:rFonts w:hint="default" w:ascii="Times New Roman" w:hAnsi="Times New Roman" w:cs="Times New Roman"/>
          <w:bCs w:val="0"/>
          <w:i w:val="0"/>
          <w:iCs/>
          <w:lang w:val="en-US" w:eastAsia="zh-CN"/>
        </w:rPr>
        <w:t>And for</w:t>
      </w:r>
      <w:r>
        <w:rPr>
          <w:rFonts w:hint="eastAsia" w:ascii="Cambria Math" w:hAnsi="Cambria Math"/>
          <w:bCs w:val="0"/>
          <w:i w:val="0"/>
          <w:iCs/>
          <w:lang w:val="en-US" w:eastAsia="zh-CN"/>
        </w:rPr>
        <w:t xml:space="preserve"> </w:t>
      </w:r>
      <m:oMath>
        <m:sSubSup>
          <m:sSubSupPr>
            <m:ctrlPr>
              <w:rPr>
                <w:rFonts w:ascii="Cambria Math" w:hAnsi="Cambria Math"/>
                <w:bCs w:val="0"/>
                <w:i/>
                <w:iCs/>
                <w:lang w:val="en-US"/>
              </w:rPr>
            </m:ctrlPr>
          </m:sSubSupPr>
          <m:e>
            <m:r>
              <m:rPr/>
              <w:rPr>
                <w:rFonts w:hint="default" w:ascii="Cambria Math" w:hAnsi="Cambria Math"/>
                <w:lang w:val="en-US" w:eastAsia="zh-CN"/>
              </w:rPr>
              <m:t>N</m:t>
            </m:r>
            <m:ctrlPr>
              <w:rPr>
                <w:rFonts w:ascii="Cambria Math" w:hAnsi="Cambria Math"/>
                <w:bCs w:val="0"/>
                <w:i/>
                <w:iCs/>
                <w:lang w:val="en-US"/>
              </w:rPr>
            </m:ctrlPr>
          </m:e>
          <m:sub>
            <m:r>
              <m:rPr/>
              <w:rPr>
                <w:rFonts w:hint="default" w:ascii="Cambria Math" w:hAnsi="Cambria Math"/>
                <w:lang w:val="en-US" w:eastAsia="zh-CN"/>
              </w:rPr>
              <m:t>RB</m:t>
            </m:r>
            <m:ctrlPr>
              <w:rPr>
                <w:rFonts w:ascii="Cambria Math" w:hAnsi="Cambria Math"/>
                <w:bCs w:val="0"/>
                <w:i/>
                <w:iCs/>
                <w:lang w:val="en-US"/>
              </w:rPr>
            </m:ctrlPr>
          </m:sub>
          <m:sup>
            <m:r>
              <m:rPr/>
              <w:rPr>
                <w:rFonts w:hint="default" w:ascii="Cambria Math" w:hAnsi="Cambria Math"/>
                <w:lang w:val="en-US" w:eastAsia="zh-CN"/>
              </w:rPr>
              <m:t>CORESET</m:t>
            </m:r>
            <m:ctrlPr>
              <w:rPr>
                <w:rFonts w:ascii="Cambria Math" w:hAnsi="Cambria Math"/>
                <w:bCs w:val="0"/>
                <w:i/>
                <w:iCs/>
                <w:lang w:val="en-US"/>
              </w:rPr>
            </m:ctrlPr>
          </m:sup>
        </m:sSubSup>
        <m:r>
          <m:rPr/>
          <w:rPr>
            <w:rFonts w:hint="default" w:ascii="Cambria Math" w:hAnsi="Cambria Math"/>
            <w:lang w:val="en-US" w:eastAsia="zh-CN"/>
          </w:rPr>
          <m:t>=</m:t>
        </m:r>
      </m:oMath>
      <w:r>
        <w:rPr>
          <w:rFonts w:hint="eastAsia" w:hAnsi="Cambria Math"/>
          <w:i w:val="0"/>
          <w:lang w:val="en-US" w:eastAsia="zh-CN"/>
        </w:rPr>
        <w:t xml:space="preserve">20, </w:t>
      </w:r>
      <w:r>
        <w:rPr>
          <w:rFonts w:hint="eastAsia"/>
          <w:lang w:val="en-US" w:eastAsia="zh-CN"/>
        </w:rPr>
        <w:t>the aggregation levels and PDCCH symbols can be supported in following Table.</w:t>
      </w:r>
    </w:p>
    <w:p>
      <w:pPr>
        <w:jc w:val="center"/>
        <w:rPr>
          <w:rFonts w:hint="default"/>
          <w:sz w:val="20"/>
          <w:szCs w:val="20"/>
          <w:lang w:val="en-US" w:eastAsia="zh-CN"/>
        </w:rPr>
      </w:pPr>
      <w:r>
        <w:rPr>
          <w:rFonts w:hint="eastAsia" w:hAnsi="Cambria Math"/>
          <w:bCs w:val="0"/>
          <w:i w:val="0"/>
          <w:iCs/>
          <w:sz w:val="20"/>
          <w:szCs w:val="20"/>
          <w:lang w:val="en-US" w:eastAsia="zh-CN"/>
        </w:rPr>
        <w:t xml:space="preserve">Table 2-2. Aggregation levels and PDCCH symbols when </w:t>
      </w:r>
      <m:oMath>
        <m:sSubSup>
          <m:sSubSupPr>
            <m:ctrlPr>
              <w:rPr>
                <w:rFonts w:ascii="Cambria Math" w:hAnsi="Cambria Math"/>
                <w:bCs w:val="0"/>
                <w:i/>
                <w:iCs/>
                <w:sz w:val="20"/>
                <w:szCs w:val="20"/>
                <w:lang w:val="en-US"/>
              </w:rPr>
            </m:ctrlPr>
          </m:sSubSupPr>
          <m:e>
            <m:r>
              <m:rPr/>
              <w:rPr>
                <w:rFonts w:hint="default" w:ascii="Cambria Math" w:hAnsi="Cambria Math"/>
                <w:sz w:val="20"/>
                <w:szCs w:val="20"/>
                <w:lang w:val="en-US" w:eastAsia="zh-CN"/>
              </w:rPr>
              <m:t>N</m:t>
            </m:r>
            <m:ctrlPr>
              <w:rPr>
                <w:rFonts w:ascii="Cambria Math" w:hAnsi="Cambria Math"/>
                <w:bCs w:val="0"/>
                <w:i/>
                <w:iCs/>
                <w:sz w:val="20"/>
                <w:szCs w:val="20"/>
                <w:lang w:val="en-US"/>
              </w:rPr>
            </m:ctrlPr>
          </m:e>
          <m:sub>
            <m:r>
              <m:rPr/>
              <w:rPr>
                <w:rFonts w:hint="default" w:ascii="Cambria Math" w:hAnsi="Cambria Math"/>
                <w:sz w:val="20"/>
                <w:szCs w:val="20"/>
                <w:lang w:val="en-US" w:eastAsia="zh-CN"/>
              </w:rPr>
              <m:t>RB</m:t>
            </m:r>
            <m:ctrlPr>
              <w:rPr>
                <w:rFonts w:ascii="Cambria Math" w:hAnsi="Cambria Math"/>
                <w:bCs w:val="0"/>
                <w:i/>
                <w:iCs/>
                <w:sz w:val="20"/>
                <w:szCs w:val="20"/>
                <w:lang w:val="en-US"/>
              </w:rPr>
            </m:ctrlPr>
          </m:sub>
          <m:sup>
            <m:r>
              <m:rPr/>
              <w:rPr>
                <w:rFonts w:hint="default" w:ascii="Cambria Math" w:hAnsi="Cambria Math"/>
                <w:sz w:val="20"/>
                <w:szCs w:val="20"/>
                <w:lang w:val="en-US" w:eastAsia="zh-CN"/>
              </w:rPr>
              <m:t>CORESET</m:t>
            </m:r>
            <m:ctrlPr>
              <w:rPr>
                <w:rFonts w:ascii="Cambria Math" w:hAnsi="Cambria Math"/>
                <w:bCs w:val="0"/>
                <w:i/>
                <w:iCs/>
                <w:sz w:val="20"/>
                <w:szCs w:val="20"/>
                <w:lang w:val="en-US"/>
              </w:rPr>
            </m:ctrlPr>
          </m:sup>
        </m:sSubSup>
        <m:r>
          <m:rPr/>
          <w:rPr>
            <w:rFonts w:hint="default" w:ascii="Cambria Math" w:hAnsi="Cambria Math"/>
            <w:sz w:val="20"/>
            <w:szCs w:val="20"/>
            <w:lang w:val="en-US" w:eastAsia="zh-CN"/>
          </w:rPr>
          <m:t>=</m:t>
        </m:r>
      </m:oMath>
      <w:r>
        <w:rPr>
          <w:rFonts w:hint="eastAsia" w:hAnsi="Cambria Math"/>
          <w:i w:val="0"/>
          <w:sz w:val="20"/>
          <w:szCs w:val="20"/>
          <w:lang w:val="en-US" w:eastAsia="zh-CN"/>
        </w:rPr>
        <w:t>20</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lang w:val="en-US" w:eastAsia="zh-CN"/>
              </w:rPr>
              <w:t>PDCCH symbols</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lang w:val="en-US" w:eastAsia="zh-CN"/>
              </w:rPr>
              <w:t>aggregation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1</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2</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jc w:val="center"/>
        </w:trPr>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3</w:t>
            </w:r>
          </w:p>
        </w:tc>
        <w:tc>
          <w:tcPr>
            <w:tcW w:w="2700" w:type="dxa"/>
            <w:vAlign w:val="top"/>
          </w:tcPr>
          <w:p>
            <w:pPr>
              <w:overflowPunct w:val="0"/>
              <w:autoSpaceDE w:val="0"/>
              <w:autoSpaceDN w:val="0"/>
              <w:adjustRightInd w:val="0"/>
              <w:spacing w:after="180"/>
              <w:jc w:val="center"/>
              <w:textAlignment w:val="baseline"/>
              <w:rPr>
                <w:rFonts w:hint="default" w:hAnsi="Cambria Math"/>
                <w:bCs w:val="0"/>
                <w:i w:val="0"/>
                <w:iCs/>
                <w:vertAlign w:val="baseline"/>
                <w:lang w:val="en-US" w:eastAsia="zh-CN"/>
              </w:rPr>
            </w:pPr>
            <w:r>
              <w:rPr>
                <w:rFonts w:hint="eastAsia" w:hAnsi="Cambria Math"/>
                <w:bCs w:val="0"/>
                <w:i w:val="0"/>
                <w:iCs/>
                <w:vertAlign w:val="baseline"/>
                <w:lang w:val="en-US" w:eastAsia="zh-CN"/>
              </w:rPr>
              <w:t>8</w:t>
            </w:r>
          </w:p>
        </w:tc>
      </w:tr>
    </w:tbl>
    <w:p>
      <w:pPr>
        <w:rPr>
          <w:rFonts w:hint="eastAsia"/>
          <w:b/>
          <w:bCs/>
          <w:i/>
          <w:iCs/>
          <w:szCs w:val="21"/>
          <w:lang w:val="en-US" w:eastAsia="zh-CN"/>
        </w:rPr>
      </w:pPr>
      <w:r>
        <w:rPr>
          <w:rFonts w:hint="eastAsia"/>
          <w:b/>
          <w:bCs/>
          <w:i/>
          <w:iCs/>
          <w:szCs w:val="21"/>
          <w:lang w:val="en-US" w:eastAsia="zh-CN"/>
        </w:rPr>
        <w:t>Observation 2. When COROSET=12 or 15RB, only aggregation level = 2 or 4 could be supported. For CORESET = 20RBs, aggregation level = 2,4,or 8 could be supported.</w:t>
      </w:r>
    </w:p>
    <w:p>
      <w:pPr>
        <w:rPr>
          <w:rFonts w:hint="default"/>
          <w:b/>
          <w:bCs/>
          <w:i/>
          <w:iCs/>
          <w:szCs w:val="21"/>
          <w:lang w:val="en-US" w:eastAsia="zh-CN"/>
        </w:rPr>
      </w:pPr>
      <w:r>
        <w:rPr>
          <w:rFonts w:hint="eastAsia"/>
          <w:b/>
          <w:bCs/>
          <w:i/>
          <w:iCs/>
          <w:szCs w:val="21"/>
          <w:lang w:val="en-US" w:eastAsia="zh-CN"/>
        </w:rPr>
        <w:t>Proposal 6. From RAN4 demodulation perspective, only considering aggregation level 2 and 4 for PDCCH requirements when PDCHH symbol = 1 and 2.</w:t>
      </w:r>
    </w:p>
    <w:p>
      <w:pPr>
        <w:rPr>
          <w:rFonts w:hint="default"/>
          <w:lang w:val="en-US" w:eastAsia="zh-CN"/>
        </w:rPr>
      </w:pPr>
      <w:r>
        <w:rPr>
          <w:rFonts w:hint="eastAsia"/>
          <w:lang w:val="en-US" w:eastAsia="zh-CN"/>
        </w:rPr>
        <w:t>Regarding antenna configuration, 2Rx could be considered for PDCCH.</w:t>
      </w:r>
    </w:p>
    <w:p>
      <w:pPr>
        <w:rPr>
          <w:b/>
          <w:bCs/>
          <w:i/>
          <w:iCs/>
          <w:szCs w:val="21"/>
        </w:rPr>
      </w:pPr>
      <w:r>
        <w:rPr>
          <w:rFonts w:hint="eastAsia"/>
          <w:b/>
          <w:bCs/>
          <w:i/>
          <w:iCs/>
          <w:szCs w:val="21"/>
          <w:lang w:val="en-US" w:eastAsia="zh-CN"/>
        </w:rPr>
        <w:t>Proposal 7. Considering 2Rx for PDCCH demodulation requirements.</w:t>
      </w: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demodulation requirements, The conclusions are:</w:t>
      </w:r>
    </w:p>
    <w:p>
      <w:pPr>
        <w:rPr>
          <w:rFonts w:hint="eastAsia"/>
          <w:lang w:val="en-US" w:eastAsia="zh-CN"/>
        </w:rPr>
      </w:pPr>
      <w:r>
        <w:rPr>
          <w:rFonts w:hint="eastAsia"/>
          <w:b/>
          <w:bCs/>
          <w:i/>
          <w:iCs/>
          <w:szCs w:val="21"/>
          <w:lang w:val="en-US" w:eastAsia="zh-CN"/>
        </w:rPr>
        <w:t>Observation1. Three new CORESET#0 is defined in RAN1 perspective.</w:t>
      </w:r>
    </w:p>
    <w:p>
      <w:pPr>
        <w:rPr>
          <w:rFonts w:hint="eastAsia"/>
          <w:bCs/>
          <w:kern w:val="0"/>
          <w:szCs w:val="21"/>
        </w:rPr>
      </w:pPr>
      <w:r>
        <w:rPr>
          <w:rFonts w:hint="eastAsia"/>
          <w:b/>
          <w:bCs/>
          <w:i/>
          <w:iCs/>
          <w:szCs w:val="21"/>
          <w:lang w:val="en-US" w:eastAsia="zh-CN"/>
        </w:rPr>
        <w:t>Observation 2. When COROSET=12 or 15RB, only aggregation level = 2 or 4 could be supported. For CORESET = 20RBs, aggregation level = 2,4,or 8 could be supported.</w:t>
      </w:r>
    </w:p>
    <w:p>
      <w:pPr>
        <w:bidi w:val="0"/>
        <w:outlineLvl w:val="9"/>
        <w:rPr>
          <w:rFonts w:hint="eastAsia"/>
          <w:b/>
          <w:bCs/>
          <w:i/>
          <w:iCs/>
          <w:szCs w:val="21"/>
          <w:lang w:val="en-US" w:eastAsia="zh-CN"/>
        </w:rPr>
      </w:pPr>
      <w:r>
        <w:rPr>
          <w:rFonts w:hint="eastAsia"/>
          <w:b/>
          <w:bCs/>
          <w:i/>
          <w:iCs/>
          <w:szCs w:val="21"/>
        </w:rPr>
        <w:t xml:space="preserve">Proposal </w:t>
      </w:r>
      <w:r>
        <w:rPr>
          <w:rFonts w:hint="eastAsia"/>
          <w:b/>
          <w:bCs/>
          <w:i/>
          <w:iCs/>
          <w:szCs w:val="21"/>
          <w:lang w:val="en-US" w:eastAsia="zh-CN"/>
        </w:rPr>
        <w:t>1. Define PBCH demodulation requirements for less than 5MHz.</w:t>
      </w:r>
    </w:p>
    <w:p>
      <w:pPr>
        <w:bidi w:val="0"/>
        <w:outlineLvl w:val="9"/>
        <w:rPr>
          <w:rFonts w:hint="default"/>
          <w:b/>
          <w:bCs/>
          <w:i/>
          <w:iCs/>
          <w:szCs w:val="21"/>
          <w:lang w:val="en-US" w:eastAsia="zh-CN"/>
        </w:rPr>
      </w:pPr>
      <w:r>
        <w:rPr>
          <w:rFonts w:hint="eastAsia"/>
          <w:b/>
          <w:bCs/>
          <w:i/>
          <w:iCs/>
          <w:szCs w:val="21"/>
          <w:lang w:val="en-US" w:eastAsia="zh-CN"/>
        </w:rPr>
        <w:t>Proposal 2. Considering 2Rx for PBCH demodulation requirements.</w:t>
      </w:r>
    </w:p>
    <w:p>
      <w:pPr>
        <w:rPr>
          <w:rFonts w:hint="default"/>
          <w:b/>
          <w:bCs/>
          <w:i/>
          <w:iCs/>
          <w:szCs w:val="21"/>
          <w:lang w:val="en-US" w:eastAsia="zh-CN"/>
        </w:rPr>
      </w:pPr>
      <w:r>
        <w:rPr>
          <w:rFonts w:hint="eastAsia"/>
          <w:b/>
          <w:bCs/>
          <w:i/>
          <w:iCs/>
          <w:szCs w:val="21"/>
        </w:rPr>
        <w:t xml:space="preserve">Proposal </w:t>
      </w:r>
      <w:r>
        <w:rPr>
          <w:rFonts w:hint="eastAsia"/>
          <w:b/>
          <w:bCs/>
          <w:i/>
          <w:iCs/>
          <w:szCs w:val="21"/>
          <w:lang w:val="en-US" w:eastAsia="zh-CN"/>
        </w:rPr>
        <w:t>3. Define 3M/15kHz PDSCH demodulation requirements for less than 5MHz .</w:t>
      </w:r>
    </w:p>
    <w:p>
      <w:pPr>
        <w:rPr>
          <w:rFonts w:hint="eastAsia"/>
          <w:b/>
          <w:bCs/>
          <w:i/>
          <w:iCs/>
          <w:szCs w:val="21"/>
          <w:lang w:val="en-US" w:eastAsia="zh-CN"/>
        </w:rPr>
      </w:pPr>
      <w:r>
        <w:rPr>
          <w:rFonts w:hint="eastAsia"/>
          <w:b/>
          <w:bCs/>
          <w:i/>
          <w:iCs/>
          <w:szCs w:val="21"/>
        </w:rPr>
        <w:t xml:space="preserve">Proposal </w:t>
      </w:r>
      <w:r>
        <w:rPr>
          <w:rFonts w:hint="eastAsia"/>
          <w:b/>
          <w:bCs/>
          <w:i/>
          <w:iCs/>
          <w:szCs w:val="21"/>
          <w:lang w:val="en-US" w:eastAsia="zh-CN"/>
        </w:rPr>
        <w:t>4. Considering QPSK, 16QAM for PDSCH requirements .</w:t>
      </w:r>
    </w:p>
    <w:p>
      <w:pPr>
        <w:rPr>
          <w:rFonts w:hint="default"/>
          <w:b/>
          <w:bCs/>
          <w:i/>
          <w:iCs/>
          <w:szCs w:val="21"/>
          <w:lang w:val="en-US" w:eastAsia="zh-CN"/>
        </w:rPr>
      </w:pPr>
      <w:r>
        <w:rPr>
          <w:rFonts w:hint="eastAsia"/>
          <w:b/>
          <w:bCs/>
          <w:i/>
          <w:iCs/>
          <w:szCs w:val="21"/>
        </w:rPr>
        <w:t xml:space="preserve">Proposal </w:t>
      </w:r>
      <w:r>
        <w:rPr>
          <w:rFonts w:hint="eastAsia"/>
          <w:b/>
          <w:bCs/>
          <w:i/>
          <w:iCs/>
          <w:szCs w:val="21"/>
          <w:lang w:val="en-US" w:eastAsia="zh-CN"/>
        </w:rPr>
        <w:t>5. Considering 2Rx for PDSCH requirements .</w:t>
      </w:r>
    </w:p>
    <w:p>
      <w:pPr>
        <w:rPr>
          <w:rFonts w:hint="eastAsia"/>
          <w:b/>
          <w:bCs/>
          <w:i/>
          <w:iCs/>
          <w:szCs w:val="21"/>
          <w:lang w:val="en-US" w:eastAsia="zh-CN"/>
        </w:rPr>
      </w:pPr>
      <w:r>
        <w:rPr>
          <w:rFonts w:hint="eastAsia"/>
          <w:b/>
          <w:bCs/>
          <w:i/>
          <w:iCs/>
          <w:szCs w:val="21"/>
          <w:lang w:val="en-US" w:eastAsia="zh-CN"/>
        </w:rPr>
        <w:t>Proposal 6. From RAN4 demodulation perspective, only considering aggregation level 2 and 4 for PDCCH requirements when PDCHH symbol = 1 and 2.</w:t>
      </w:r>
    </w:p>
    <w:p>
      <w:pPr>
        <w:rPr>
          <w:rFonts w:hint="default"/>
          <w:b/>
          <w:bCs/>
          <w:i/>
          <w:iCs/>
          <w:szCs w:val="21"/>
          <w:lang w:val="en-US" w:eastAsia="zh-CN"/>
        </w:rPr>
      </w:pPr>
      <w:r>
        <w:rPr>
          <w:rFonts w:hint="eastAsia"/>
          <w:b/>
          <w:bCs/>
          <w:i/>
          <w:iCs/>
          <w:szCs w:val="21"/>
          <w:lang w:val="en-US" w:eastAsia="zh-CN"/>
        </w:rPr>
        <w:t>Proposal 7. Considering 2Rx for PDCCH demodulation requirements.</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10"/>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3GPP T</w:t>
      </w:r>
      <w:r>
        <w:rPr>
          <w:rFonts w:hint="eastAsia" w:eastAsia="宋体" w:cstheme="minorBidi"/>
          <w:kern w:val="0"/>
          <w:sz w:val="21"/>
          <w:szCs w:val="21"/>
          <w:lang w:val="en-US" w:eastAsia="zh-CN"/>
        </w:rPr>
        <w:t>S</w:t>
      </w:r>
      <w:r>
        <w:rPr>
          <w:rFonts w:hint="eastAsia" w:eastAsiaTheme="minorHAnsi" w:cstheme="minorBidi"/>
          <w:kern w:val="0"/>
          <w:sz w:val="21"/>
          <w:szCs w:val="21"/>
        </w:rPr>
        <w:t xml:space="preserve"> 38.</w:t>
      </w:r>
      <w:r>
        <w:rPr>
          <w:rFonts w:hint="eastAsia" w:eastAsia="宋体" w:cstheme="minorBidi"/>
          <w:kern w:val="0"/>
          <w:sz w:val="21"/>
          <w:szCs w:val="21"/>
          <w:lang w:val="en-US" w:eastAsia="zh-CN"/>
        </w:rPr>
        <w:t>101-4</w:t>
      </w:r>
      <w:r>
        <w:rPr>
          <w:rFonts w:hint="eastAsia" w:eastAsiaTheme="minorHAnsi" w:cstheme="minorBidi"/>
          <w:kern w:val="0"/>
          <w:sz w:val="21"/>
          <w:szCs w:val="21"/>
        </w:rPr>
        <w:t>, Performance requirements,</w:t>
      </w:r>
      <w:r>
        <w:rPr>
          <w:rFonts w:hint="eastAsia" w:eastAsia="宋体" w:cstheme="minorBidi"/>
          <w:kern w:val="0"/>
          <w:sz w:val="21"/>
          <w:szCs w:val="21"/>
          <w:lang w:val="en-US" w:eastAsia="zh-CN"/>
        </w:rPr>
        <w:t xml:space="preserve"> V18.0.0. </w:t>
      </w:r>
    </w:p>
    <w:p>
      <w:pPr>
        <w:pStyle w:val="34"/>
        <w:numPr>
          <w:ilvl w:val="0"/>
          <w:numId w:val="0"/>
        </w:numPr>
        <w:spacing w:afterLines="0" w:line="259" w:lineRule="auto"/>
        <w:ind w:right="-22" w:rightChars="0"/>
        <w:jc w:val="left"/>
        <w:rPr>
          <w:rFonts w:eastAsiaTheme="minorHAnsi" w:cstheme="minorBidi"/>
          <w:kern w:val="0"/>
          <w:sz w:val="21"/>
          <w:szCs w:val="21"/>
        </w:rPr>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游明朝">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1F5208E"/>
    <w:multiLevelType w:val="multilevel"/>
    <w:tmpl w:val="41F5208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7">
    <w:nsid w:val="43BF3FDD"/>
    <w:multiLevelType w:val="multilevel"/>
    <w:tmpl w:val="43BF3FDD"/>
    <w:lvl w:ilvl="0" w:tentative="0">
      <w:start w:val="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9"/>
  </w:num>
  <w:num w:numId="3">
    <w:abstractNumId w:val="4"/>
  </w:num>
  <w:num w:numId="4">
    <w:abstractNumId w:val="5"/>
  </w:num>
  <w:num w:numId="5">
    <w:abstractNumId w:val="1"/>
  </w:num>
  <w:num w:numId="6">
    <w:abstractNumId w:val="0"/>
  </w:num>
  <w:num w:numId="7">
    <w:abstractNumId w:val="2"/>
  </w:num>
  <w:num w:numId="8">
    <w:abstractNumId w:val="6"/>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750D3"/>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B757E8"/>
    <w:rsid w:val="03C05350"/>
    <w:rsid w:val="03C1287B"/>
    <w:rsid w:val="03C36B0E"/>
    <w:rsid w:val="03CF67FA"/>
    <w:rsid w:val="03E358F3"/>
    <w:rsid w:val="03E84DE8"/>
    <w:rsid w:val="04030035"/>
    <w:rsid w:val="04251A4C"/>
    <w:rsid w:val="042D2E97"/>
    <w:rsid w:val="04305EA0"/>
    <w:rsid w:val="04352418"/>
    <w:rsid w:val="043865BF"/>
    <w:rsid w:val="044C78D8"/>
    <w:rsid w:val="04537B11"/>
    <w:rsid w:val="045C6122"/>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F2584F"/>
    <w:rsid w:val="0601277E"/>
    <w:rsid w:val="060C5AED"/>
    <w:rsid w:val="06103146"/>
    <w:rsid w:val="06172561"/>
    <w:rsid w:val="061E54DA"/>
    <w:rsid w:val="061E5E22"/>
    <w:rsid w:val="063D244B"/>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A864E9"/>
    <w:rsid w:val="07B51934"/>
    <w:rsid w:val="07B9290D"/>
    <w:rsid w:val="07BB64F5"/>
    <w:rsid w:val="07BE52B9"/>
    <w:rsid w:val="07D57946"/>
    <w:rsid w:val="07D70D20"/>
    <w:rsid w:val="07ED524D"/>
    <w:rsid w:val="080124E3"/>
    <w:rsid w:val="080C7FA0"/>
    <w:rsid w:val="080D41B9"/>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8C2CE3"/>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2A1BB9"/>
    <w:rsid w:val="0D4B44A1"/>
    <w:rsid w:val="0D6E2620"/>
    <w:rsid w:val="0D704E21"/>
    <w:rsid w:val="0D753731"/>
    <w:rsid w:val="0D7F48FE"/>
    <w:rsid w:val="0D826E5C"/>
    <w:rsid w:val="0D883C88"/>
    <w:rsid w:val="0D900677"/>
    <w:rsid w:val="0D966BF7"/>
    <w:rsid w:val="0DBD71A3"/>
    <w:rsid w:val="0DCC3AE8"/>
    <w:rsid w:val="0DD87842"/>
    <w:rsid w:val="0DD934C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228A3"/>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11B08"/>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85584B"/>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83148"/>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2191D"/>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9D0D39"/>
    <w:rsid w:val="26A30ADD"/>
    <w:rsid w:val="26C472EC"/>
    <w:rsid w:val="26EC491A"/>
    <w:rsid w:val="26ED73E1"/>
    <w:rsid w:val="26EF38F6"/>
    <w:rsid w:val="26F32A72"/>
    <w:rsid w:val="26FD510C"/>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62839"/>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42FC2"/>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E617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D768C"/>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674F8"/>
    <w:rsid w:val="2FF87390"/>
    <w:rsid w:val="2FF93066"/>
    <w:rsid w:val="301103CD"/>
    <w:rsid w:val="301A71CE"/>
    <w:rsid w:val="301E049B"/>
    <w:rsid w:val="302A4BE6"/>
    <w:rsid w:val="30307691"/>
    <w:rsid w:val="304478EC"/>
    <w:rsid w:val="304A314A"/>
    <w:rsid w:val="3062663F"/>
    <w:rsid w:val="30916BB1"/>
    <w:rsid w:val="30962F3E"/>
    <w:rsid w:val="30AA2585"/>
    <w:rsid w:val="30AD7725"/>
    <w:rsid w:val="30B043F0"/>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A0A45"/>
    <w:rsid w:val="32AE4A3C"/>
    <w:rsid w:val="32BA4880"/>
    <w:rsid w:val="32CB6A28"/>
    <w:rsid w:val="32DF351E"/>
    <w:rsid w:val="32E660DB"/>
    <w:rsid w:val="32EE5E41"/>
    <w:rsid w:val="32F40F87"/>
    <w:rsid w:val="32FD7C76"/>
    <w:rsid w:val="330C22FC"/>
    <w:rsid w:val="33247878"/>
    <w:rsid w:val="333D3A1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1D4BB8"/>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036B4"/>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2E7F2A"/>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DE4C1D"/>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67A1"/>
    <w:rsid w:val="427B6B66"/>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3E7FD8"/>
    <w:rsid w:val="474A0EAF"/>
    <w:rsid w:val="474E50BE"/>
    <w:rsid w:val="47696F9C"/>
    <w:rsid w:val="47725A17"/>
    <w:rsid w:val="477D3243"/>
    <w:rsid w:val="478821A1"/>
    <w:rsid w:val="479128A9"/>
    <w:rsid w:val="47975EDC"/>
    <w:rsid w:val="47983B19"/>
    <w:rsid w:val="479A2B88"/>
    <w:rsid w:val="47A3609D"/>
    <w:rsid w:val="47C01792"/>
    <w:rsid w:val="47C57A48"/>
    <w:rsid w:val="47D511BD"/>
    <w:rsid w:val="47D52718"/>
    <w:rsid w:val="4808150F"/>
    <w:rsid w:val="480F51A8"/>
    <w:rsid w:val="48256B1B"/>
    <w:rsid w:val="48282713"/>
    <w:rsid w:val="482A1618"/>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279AB"/>
    <w:rsid w:val="4958367A"/>
    <w:rsid w:val="496E52F3"/>
    <w:rsid w:val="497D5E45"/>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8236D"/>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3C557E"/>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34B81"/>
    <w:rsid w:val="51C67EED"/>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73903"/>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81DD3"/>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476B6"/>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2652F0"/>
    <w:rsid w:val="5F4F1B95"/>
    <w:rsid w:val="5F683B6E"/>
    <w:rsid w:val="5F843409"/>
    <w:rsid w:val="5F875C0C"/>
    <w:rsid w:val="5F8F0B9E"/>
    <w:rsid w:val="5F8F267A"/>
    <w:rsid w:val="5FB94C48"/>
    <w:rsid w:val="5FEA3339"/>
    <w:rsid w:val="5FEC60B6"/>
    <w:rsid w:val="5FF37587"/>
    <w:rsid w:val="5FFE57B7"/>
    <w:rsid w:val="60060CD5"/>
    <w:rsid w:val="600762FF"/>
    <w:rsid w:val="60085AA3"/>
    <w:rsid w:val="600E362B"/>
    <w:rsid w:val="60183392"/>
    <w:rsid w:val="601953B5"/>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6E2C67"/>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4C0187"/>
    <w:rsid w:val="64766F57"/>
    <w:rsid w:val="648939AA"/>
    <w:rsid w:val="649B1AC2"/>
    <w:rsid w:val="64A7467B"/>
    <w:rsid w:val="64C86505"/>
    <w:rsid w:val="64FE700F"/>
    <w:rsid w:val="6500327F"/>
    <w:rsid w:val="6503062C"/>
    <w:rsid w:val="6506609B"/>
    <w:rsid w:val="65083216"/>
    <w:rsid w:val="650E3D55"/>
    <w:rsid w:val="653A5EE7"/>
    <w:rsid w:val="65460728"/>
    <w:rsid w:val="65822810"/>
    <w:rsid w:val="65870C45"/>
    <w:rsid w:val="659B4BB9"/>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9C2E7E"/>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969D4"/>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0E1232"/>
    <w:rsid w:val="6C240DF3"/>
    <w:rsid w:val="6C2E6123"/>
    <w:rsid w:val="6C45610F"/>
    <w:rsid w:val="6C547243"/>
    <w:rsid w:val="6C59472D"/>
    <w:rsid w:val="6C5A4564"/>
    <w:rsid w:val="6C603744"/>
    <w:rsid w:val="6C637CCF"/>
    <w:rsid w:val="6C646F5A"/>
    <w:rsid w:val="6C7802EB"/>
    <w:rsid w:val="6C783222"/>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EC7953"/>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AA48B1"/>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3774"/>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24579"/>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41BA4"/>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B274B4"/>
    <w:rsid w:val="7FC73596"/>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2023-09-27T09:19:04Z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A1CDB747EEAB49BF888A0BA9449178C1</vt:lpwstr>
  </property>
</Properties>
</file>